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5AD2C" w14:textId="0467CF5C" w:rsidR="003A1D29" w:rsidRPr="003A1D29" w:rsidRDefault="007D7FB9" w:rsidP="00154AC5">
      <w:pPr>
        <w:spacing w:line="360" w:lineRule="auto"/>
        <w:jc w:val="both"/>
        <w:rPr>
          <w:rFonts w:ascii="Book Antiqua" w:hAnsi="Book Antiqua" w:cs="Helvetica"/>
          <w:b/>
          <w:lang w:val="en-US"/>
        </w:rPr>
      </w:pPr>
      <w:r w:rsidRPr="003A1D29">
        <w:rPr>
          <w:rFonts w:ascii="Book Antiqua" w:hAnsi="Book Antiqua" w:cs="Helvetica"/>
          <w:b/>
          <w:lang w:val="en-US"/>
        </w:rPr>
        <w:t>Motherhood</w:t>
      </w:r>
      <w:r w:rsidR="00F50E21">
        <w:rPr>
          <w:rFonts w:ascii="Book Antiqua" w:hAnsi="Book Antiqua" w:cs="Helvetica"/>
          <w:b/>
          <w:lang w:val="en-US"/>
        </w:rPr>
        <w:t xml:space="preserve"> and Objectification</w:t>
      </w:r>
      <w:r w:rsidR="00A206F6">
        <w:rPr>
          <w:rStyle w:val="FootnoteReference"/>
          <w:rFonts w:ascii="Book Antiqua" w:hAnsi="Book Antiqua" w:cs="Helvetica"/>
          <w:b/>
          <w:lang w:val="en-US"/>
        </w:rPr>
        <w:footnoteReference w:id="1"/>
      </w:r>
    </w:p>
    <w:p w14:paraId="4F814CB2" w14:textId="537676DA" w:rsidR="003A1D29" w:rsidRDefault="00CD30D4" w:rsidP="00154AC5">
      <w:pPr>
        <w:spacing w:line="360" w:lineRule="auto"/>
        <w:jc w:val="both"/>
        <w:rPr>
          <w:rFonts w:ascii="Book Antiqua" w:hAnsi="Book Antiqua" w:cs="Helvetica"/>
          <w:i/>
          <w:lang w:val="en-US"/>
        </w:rPr>
      </w:pPr>
      <w:r>
        <w:rPr>
          <w:rFonts w:ascii="Book Antiqua" w:hAnsi="Book Antiqua" w:cs="Helvetica"/>
          <w:i/>
          <w:lang w:val="en-US"/>
        </w:rPr>
        <w:t>Fiona Woollard</w:t>
      </w:r>
    </w:p>
    <w:p w14:paraId="429E7189" w14:textId="02BA5A1F" w:rsidR="00CD30D4" w:rsidRDefault="00CD30D4" w:rsidP="00154AC5">
      <w:pPr>
        <w:spacing w:line="360" w:lineRule="auto"/>
        <w:jc w:val="both"/>
        <w:rPr>
          <w:rFonts w:ascii="Book Antiqua" w:hAnsi="Book Antiqua" w:cs="Helvetica"/>
          <w:lang w:val="en-US"/>
        </w:rPr>
      </w:pPr>
      <w:r>
        <w:rPr>
          <w:rFonts w:ascii="Book Antiqua" w:hAnsi="Book Antiqua" w:cs="Helvetica"/>
          <w:i/>
          <w:lang w:val="en-US"/>
        </w:rPr>
        <w:t>University of Southampton</w:t>
      </w:r>
    </w:p>
    <w:p w14:paraId="6DE36ACE" w14:textId="77777777" w:rsidR="00E05E1B" w:rsidRDefault="00E05E1B" w:rsidP="00154AC5">
      <w:pPr>
        <w:spacing w:line="360" w:lineRule="auto"/>
        <w:jc w:val="both"/>
        <w:rPr>
          <w:rFonts w:ascii="Book Antiqua" w:hAnsi="Book Antiqua" w:cs="Helvetica"/>
          <w:lang w:val="en-US"/>
        </w:rPr>
      </w:pPr>
    </w:p>
    <w:p w14:paraId="48855ECA" w14:textId="77777777" w:rsidR="00E05E1B" w:rsidRDefault="00E05E1B" w:rsidP="00154AC5">
      <w:pPr>
        <w:spacing w:line="360" w:lineRule="auto"/>
        <w:jc w:val="both"/>
        <w:rPr>
          <w:rFonts w:ascii="Book Antiqua" w:hAnsi="Book Antiqua" w:cs="Helvetica"/>
          <w:b/>
          <w:lang w:val="en-US"/>
        </w:rPr>
      </w:pPr>
      <w:r>
        <w:rPr>
          <w:rFonts w:ascii="Book Antiqua" w:hAnsi="Book Antiqua" w:cs="Helvetica"/>
          <w:b/>
          <w:lang w:val="en-US"/>
        </w:rPr>
        <w:t>Introduction</w:t>
      </w:r>
    </w:p>
    <w:p w14:paraId="7DF67605" w14:textId="028618D7" w:rsidR="00A17048" w:rsidRDefault="00E37738" w:rsidP="00154AC5">
      <w:pPr>
        <w:spacing w:line="360" w:lineRule="auto"/>
        <w:jc w:val="both"/>
        <w:rPr>
          <w:rFonts w:ascii="Book Antiqua" w:hAnsi="Book Antiqua" w:cs="Helvetica"/>
        </w:rPr>
      </w:pPr>
      <w:r>
        <w:rPr>
          <w:rFonts w:ascii="Book Antiqua" w:hAnsi="Book Antiqua" w:cs="Helvetica"/>
        </w:rPr>
        <w:t xml:space="preserve">Feminists have most frequently discussed objectification in the context of sex. I </w:t>
      </w:r>
      <w:r w:rsidR="007410B9">
        <w:rPr>
          <w:rFonts w:ascii="Book Antiqua" w:hAnsi="Book Antiqua" w:cs="Helvetica"/>
        </w:rPr>
        <w:t xml:space="preserve">show </w:t>
      </w:r>
      <w:r>
        <w:rPr>
          <w:rFonts w:ascii="Book Antiqua" w:hAnsi="Book Antiqua" w:cs="Helvetica"/>
        </w:rPr>
        <w:t>that the way in which w</w:t>
      </w:r>
      <w:r w:rsidR="00D40177">
        <w:rPr>
          <w:rFonts w:ascii="Book Antiqua" w:hAnsi="Book Antiqua" w:cs="Helvetica"/>
        </w:rPr>
        <w:t>e understand women as mothers involves a similar kind of o</w:t>
      </w:r>
      <w:r w:rsidR="005D55B4">
        <w:rPr>
          <w:rFonts w:ascii="Book Antiqua" w:hAnsi="Book Antiqua" w:cs="Helvetica"/>
        </w:rPr>
        <w:t xml:space="preserve">bjectionable objectification.  </w:t>
      </w:r>
      <w:r w:rsidR="00F311E3">
        <w:rPr>
          <w:rFonts w:ascii="Book Antiqua" w:hAnsi="Book Antiqua" w:cs="Helvetica"/>
        </w:rPr>
        <w:t xml:space="preserve">One extremely influential element in contemporary thought about mothers and maternal behaviour is what I will call the Model of Motherhood. </w:t>
      </w:r>
      <w:r w:rsidR="00D40177">
        <w:rPr>
          <w:rFonts w:ascii="Book Antiqua" w:hAnsi="Book Antiqua" w:cs="Helvetica"/>
        </w:rPr>
        <w:t>Th</w:t>
      </w:r>
      <w:r w:rsidR="00F311E3">
        <w:rPr>
          <w:rFonts w:ascii="Book Antiqua" w:hAnsi="Book Antiqua" w:cs="Helvetica"/>
        </w:rPr>
        <w:t>e Model of Motherhood presents a</w:t>
      </w:r>
      <w:r w:rsidR="00F50E21">
        <w:rPr>
          <w:rFonts w:ascii="Book Antiqua" w:hAnsi="Book Antiqua" w:cs="Helvetica"/>
        </w:rPr>
        <w:t xml:space="preserve"> </w:t>
      </w:r>
      <w:r w:rsidR="00C10450">
        <w:rPr>
          <w:rFonts w:ascii="Book Antiqua" w:hAnsi="Book Antiqua" w:cs="Helvetica"/>
        </w:rPr>
        <w:t xml:space="preserve">picture of motherhood </w:t>
      </w:r>
      <w:r w:rsidR="00F311E3">
        <w:rPr>
          <w:rFonts w:ascii="Book Antiqua" w:hAnsi="Book Antiqua" w:cs="Helvetica"/>
        </w:rPr>
        <w:t xml:space="preserve">that </w:t>
      </w:r>
      <w:r w:rsidR="00D40177">
        <w:rPr>
          <w:rFonts w:ascii="Book Antiqua" w:hAnsi="Book Antiqua" w:cs="Helvetica"/>
        </w:rPr>
        <w:t xml:space="preserve">claims to be both descriptive and normative: it purports to tell us what mothers ‘naturally’ are, do and feel and thus </w:t>
      </w:r>
      <w:r w:rsidR="00C10450">
        <w:rPr>
          <w:rFonts w:ascii="Book Antiqua" w:hAnsi="Book Antiqua" w:cs="Helvetica"/>
        </w:rPr>
        <w:t>to provide</w:t>
      </w:r>
      <w:r w:rsidR="00D40177">
        <w:rPr>
          <w:rFonts w:ascii="Book Antiqua" w:hAnsi="Book Antiqua" w:cs="Helvetica"/>
        </w:rPr>
        <w:t xml:space="preserve"> a standard by which the character, behaviour and feelings of individual mothers are assessed and criticised.</w:t>
      </w:r>
      <w:r w:rsidR="00F311E3">
        <w:rPr>
          <w:rFonts w:ascii="Book Antiqua" w:hAnsi="Book Antiqua" w:cs="Helvetica"/>
        </w:rPr>
        <w:t xml:space="preserve">  According to this picture, mothers are naturally cheerfully self-sacrificing, focused solely on the needs of their children.</w:t>
      </w:r>
      <w:r w:rsidR="007410B9">
        <w:rPr>
          <w:rFonts w:ascii="Book Antiqua" w:hAnsi="Book Antiqua" w:cs="Helvetica"/>
        </w:rPr>
        <w:t xml:space="preserve"> T</w:t>
      </w:r>
      <w:r>
        <w:rPr>
          <w:rFonts w:ascii="Book Antiqua" w:hAnsi="Book Antiqua" w:cs="Helvetica"/>
        </w:rPr>
        <w:t>h</w:t>
      </w:r>
      <w:r w:rsidR="00C10450">
        <w:rPr>
          <w:rFonts w:ascii="Book Antiqua" w:hAnsi="Book Antiqua" w:cs="Helvetica"/>
        </w:rPr>
        <w:t xml:space="preserve">is way of understanding motherhood </w:t>
      </w:r>
      <w:r>
        <w:rPr>
          <w:rFonts w:ascii="Book Antiqua" w:hAnsi="Book Antiqua" w:cs="Helvetica"/>
        </w:rPr>
        <w:t>involves an objectionable form of objectification.</w:t>
      </w:r>
    </w:p>
    <w:p w14:paraId="41D30674" w14:textId="3021A688" w:rsidR="00B84DBD" w:rsidRDefault="00A17048" w:rsidP="00154AC5">
      <w:pPr>
        <w:spacing w:line="360" w:lineRule="auto"/>
        <w:jc w:val="both"/>
        <w:rPr>
          <w:rFonts w:ascii="Book Antiqua" w:hAnsi="Book Antiqua" w:cs="Helvetica"/>
        </w:rPr>
      </w:pPr>
      <w:r>
        <w:rPr>
          <w:rFonts w:ascii="Book Antiqua" w:hAnsi="Book Antiqua" w:cs="Helvetica"/>
        </w:rPr>
        <w:tab/>
        <w:t xml:space="preserve">I’ll begin by </w:t>
      </w:r>
      <w:r w:rsidR="00F311E3">
        <w:rPr>
          <w:rFonts w:ascii="Book Antiqua" w:hAnsi="Book Antiqua" w:cs="Helvetica"/>
        </w:rPr>
        <w:t xml:space="preserve">introducing the Model of Motherhood and </w:t>
      </w:r>
      <w:r w:rsidR="007410B9">
        <w:rPr>
          <w:rFonts w:ascii="Book Antiqua" w:hAnsi="Book Antiqua" w:cs="Helvetica"/>
        </w:rPr>
        <w:t>its role</w:t>
      </w:r>
      <w:r w:rsidR="00F311E3">
        <w:rPr>
          <w:rFonts w:ascii="Book Antiqua" w:hAnsi="Book Antiqua" w:cs="Helvetica"/>
        </w:rPr>
        <w:t xml:space="preserve"> in contemporary thought about maternal behaviour</w:t>
      </w:r>
      <w:r>
        <w:rPr>
          <w:rFonts w:ascii="Book Antiqua" w:hAnsi="Book Antiqua" w:cs="Helvetica"/>
        </w:rPr>
        <w:t>.</w:t>
      </w:r>
      <w:r w:rsidR="0098166E">
        <w:rPr>
          <w:rFonts w:ascii="Book Antiqua" w:hAnsi="Book Antiqua" w:cs="Helvetica"/>
        </w:rPr>
        <w:t xml:space="preserve"> </w:t>
      </w:r>
      <w:r>
        <w:rPr>
          <w:rFonts w:ascii="Book Antiqua" w:hAnsi="Book Antiqua" w:cs="Helvetica"/>
        </w:rPr>
        <w:t xml:space="preserve">I will then </w:t>
      </w:r>
      <w:r w:rsidR="005D55B4">
        <w:rPr>
          <w:rFonts w:ascii="Book Antiqua" w:hAnsi="Book Antiqua" w:cs="Helvetica"/>
        </w:rPr>
        <w:t xml:space="preserve">discuss the concept </w:t>
      </w:r>
      <w:r w:rsidR="00A93E09">
        <w:rPr>
          <w:rFonts w:ascii="Book Antiqua" w:hAnsi="Book Antiqua" w:cs="Helvetica"/>
        </w:rPr>
        <w:t>of objectification, taking as m</w:t>
      </w:r>
      <w:r w:rsidR="005D55B4">
        <w:rPr>
          <w:rFonts w:ascii="Book Antiqua" w:hAnsi="Book Antiqua" w:cs="Helvetica"/>
        </w:rPr>
        <w:t xml:space="preserve">y starting point </w:t>
      </w:r>
      <w:r>
        <w:rPr>
          <w:rFonts w:ascii="Book Antiqua" w:hAnsi="Book Antiqua" w:cs="Helvetica"/>
        </w:rPr>
        <w:t>an account of objectification drawn from Martha Nussbaum and</w:t>
      </w:r>
      <w:r w:rsidR="00356290">
        <w:rPr>
          <w:rFonts w:ascii="Book Antiqua" w:hAnsi="Book Antiqua" w:cs="Helvetica"/>
        </w:rPr>
        <w:t xml:space="preserve"> Rae Langton, which identifies ten features of objectification.  Nussbaum holds, and Langton appears t</w:t>
      </w:r>
      <w:r w:rsidR="00C13735">
        <w:rPr>
          <w:rFonts w:ascii="Book Antiqua" w:hAnsi="Book Antiqua" w:cs="Helvetica"/>
        </w:rPr>
        <w:t>o concur, that objectification i</w:t>
      </w:r>
      <w:r w:rsidR="00356290">
        <w:rPr>
          <w:rFonts w:ascii="Book Antiqua" w:hAnsi="Book Antiqua" w:cs="Helvetica"/>
        </w:rPr>
        <w:t>s a cluster term applicable when sufficiently many of these features are present</w:t>
      </w:r>
      <w:r>
        <w:rPr>
          <w:rFonts w:ascii="Book Antiqua" w:hAnsi="Book Antiqua" w:cs="Helvetica"/>
        </w:rPr>
        <w:t>.  I’ll</w:t>
      </w:r>
      <w:r w:rsidR="003506C0">
        <w:rPr>
          <w:rFonts w:ascii="Book Antiqua" w:hAnsi="Book Antiqua" w:cs="Helvetica"/>
        </w:rPr>
        <w:t xml:space="preserve"> then</w:t>
      </w:r>
      <w:r>
        <w:rPr>
          <w:rFonts w:ascii="Book Antiqua" w:hAnsi="Book Antiqua" w:cs="Helvetica"/>
        </w:rPr>
        <w:t xml:space="preserve"> </w:t>
      </w:r>
      <w:r w:rsidR="007410B9">
        <w:rPr>
          <w:rFonts w:ascii="Book Antiqua" w:hAnsi="Book Antiqua" w:cs="Helvetica"/>
        </w:rPr>
        <w:t>argue that</w:t>
      </w:r>
      <w:r w:rsidR="00A93E09">
        <w:rPr>
          <w:rFonts w:ascii="Book Antiqua" w:hAnsi="Book Antiqua" w:cs="Helvetica"/>
        </w:rPr>
        <w:t xml:space="preserve"> </w:t>
      </w:r>
      <w:r w:rsidR="007410B9">
        <w:rPr>
          <w:rFonts w:ascii="Book Antiqua" w:hAnsi="Book Antiqua" w:cs="Helvetica"/>
        </w:rPr>
        <w:t>the Model of Motherhood</w:t>
      </w:r>
      <w:r w:rsidR="00A93E09">
        <w:rPr>
          <w:rFonts w:ascii="Book Antiqua" w:hAnsi="Book Antiqua" w:cs="Helvetica"/>
        </w:rPr>
        <w:t xml:space="preserve"> </w:t>
      </w:r>
      <w:r w:rsidR="0097500E">
        <w:rPr>
          <w:rFonts w:ascii="Book Antiqua" w:hAnsi="Book Antiqua" w:cs="Helvetica"/>
        </w:rPr>
        <w:t>meets this condition</w:t>
      </w:r>
      <w:r w:rsidR="00A93E09">
        <w:rPr>
          <w:rFonts w:ascii="Book Antiqua" w:hAnsi="Book Antiqua" w:cs="Helvetica"/>
        </w:rPr>
        <w:t>.</w:t>
      </w:r>
      <w:r w:rsidR="00B84DBD">
        <w:rPr>
          <w:rFonts w:ascii="Book Antiqua" w:hAnsi="Book Antiqua" w:cs="Helvetica"/>
        </w:rPr>
        <w:t xml:space="preserve">  The Model of Motherhood involves </w:t>
      </w:r>
      <w:r w:rsidR="00B84DBD" w:rsidRPr="00176586">
        <w:rPr>
          <w:rFonts w:ascii="Book Antiqua" w:hAnsi="Book Antiqua" w:cs="Helvetica"/>
          <w:i/>
          <w:iCs/>
          <w:lang w:val="en-US"/>
        </w:rPr>
        <w:t>violability</w:t>
      </w:r>
      <w:r w:rsidR="00B84DBD">
        <w:rPr>
          <w:rFonts w:ascii="Book Antiqua" w:hAnsi="Book Antiqua" w:cs="Helvetica"/>
          <w:lang w:val="en-US"/>
        </w:rPr>
        <w:t>;</w:t>
      </w:r>
      <w:r w:rsidR="00B84DBD" w:rsidRPr="00176586">
        <w:rPr>
          <w:rFonts w:ascii="Book Antiqua" w:hAnsi="Book Antiqua" w:cs="Helvetica"/>
          <w:i/>
          <w:iCs/>
          <w:lang w:val="en-US"/>
        </w:rPr>
        <w:t xml:space="preserve"> reduction to body</w:t>
      </w:r>
      <w:r w:rsidR="00B84DBD">
        <w:rPr>
          <w:rFonts w:ascii="Book Antiqua" w:hAnsi="Book Antiqua" w:cs="Helvetica"/>
          <w:i/>
          <w:iCs/>
          <w:lang w:val="en-US"/>
        </w:rPr>
        <w:t xml:space="preserve">; ownership </w:t>
      </w:r>
      <w:r w:rsidR="00B84DBD">
        <w:rPr>
          <w:rFonts w:ascii="Book Antiqua" w:hAnsi="Book Antiqua" w:cs="Helvetica"/>
          <w:lang w:val="en-US"/>
        </w:rPr>
        <w:t xml:space="preserve">and </w:t>
      </w:r>
      <w:r w:rsidR="00B84DBD" w:rsidRPr="00176586">
        <w:rPr>
          <w:rFonts w:ascii="Book Antiqua" w:hAnsi="Book Antiqua" w:cs="Helvetica"/>
          <w:i/>
          <w:iCs/>
          <w:lang w:val="en-US"/>
        </w:rPr>
        <w:t>silencing</w:t>
      </w:r>
      <w:r w:rsidR="00B84DBD">
        <w:rPr>
          <w:rFonts w:ascii="Book Antiqua" w:hAnsi="Book Antiqua" w:cs="Helvetica"/>
          <w:lang w:val="en-US"/>
        </w:rPr>
        <w:t xml:space="preserve"> in a relatively straightforward way.  It involves </w:t>
      </w:r>
      <w:r w:rsidR="00B84DBD" w:rsidRPr="00B70CAF">
        <w:rPr>
          <w:rFonts w:ascii="Book Antiqua" w:hAnsi="Book Antiqua" w:cs="Helvetica"/>
          <w:i/>
          <w:iCs/>
          <w:lang w:val="en-US"/>
        </w:rPr>
        <w:t>instrumentality</w:t>
      </w:r>
      <w:r w:rsidR="00B84DBD">
        <w:rPr>
          <w:rFonts w:ascii="Book Antiqua" w:hAnsi="Book Antiqua" w:cs="Helvetica"/>
          <w:iCs/>
          <w:lang w:val="en-US"/>
        </w:rPr>
        <w:t xml:space="preserve">, </w:t>
      </w:r>
      <w:r w:rsidR="00B84DBD" w:rsidRPr="00B70CAF">
        <w:rPr>
          <w:rFonts w:ascii="Book Antiqua" w:hAnsi="Book Antiqua" w:cs="Helvetica"/>
          <w:i/>
          <w:iCs/>
          <w:lang w:val="en-US"/>
        </w:rPr>
        <w:t xml:space="preserve">denial </w:t>
      </w:r>
      <w:r w:rsidR="00B84DBD" w:rsidRPr="00176586">
        <w:rPr>
          <w:rFonts w:ascii="Book Antiqua" w:hAnsi="Book Antiqua" w:cs="Helvetica"/>
          <w:i/>
          <w:iCs/>
          <w:lang w:val="en-US"/>
        </w:rPr>
        <w:t>of autonomy</w:t>
      </w:r>
      <w:r w:rsidR="00B84DBD">
        <w:rPr>
          <w:rFonts w:ascii="Book Antiqua" w:hAnsi="Book Antiqua" w:cs="Helvetica"/>
          <w:lang w:val="en-US"/>
        </w:rPr>
        <w:t>;</w:t>
      </w:r>
      <w:r w:rsidR="00B84DBD" w:rsidRPr="00176586">
        <w:rPr>
          <w:rFonts w:ascii="Book Antiqua" w:hAnsi="Book Antiqua" w:cs="Helvetica"/>
          <w:i/>
          <w:iCs/>
          <w:lang w:val="en-US"/>
        </w:rPr>
        <w:t xml:space="preserve"> </w:t>
      </w:r>
      <w:r w:rsidR="00B84DBD" w:rsidRPr="00176586">
        <w:rPr>
          <w:rFonts w:ascii="Book Antiqua" w:hAnsi="Book Antiqua" w:cs="Helvetica"/>
          <w:i/>
          <w:iCs/>
          <w:lang w:val="en-US"/>
        </w:rPr>
        <w:lastRenderedPageBreak/>
        <w:t>inertness</w:t>
      </w:r>
      <w:r w:rsidR="00B84DBD">
        <w:rPr>
          <w:rFonts w:ascii="Book Antiqua" w:hAnsi="Book Antiqua" w:cs="Helvetica"/>
          <w:lang w:val="en-US"/>
        </w:rPr>
        <w:t xml:space="preserve">; </w:t>
      </w:r>
      <w:r w:rsidR="00B84DBD" w:rsidRPr="00176586">
        <w:rPr>
          <w:rFonts w:ascii="Book Antiqua" w:hAnsi="Book Antiqua" w:cs="Helvetica"/>
          <w:i/>
          <w:iCs/>
          <w:lang w:val="en-US"/>
        </w:rPr>
        <w:t>fungibility</w:t>
      </w:r>
      <w:r w:rsidR="00B84DBD" w:rsidRPr="00176586">
        <w:rPr>
          <w:rFonts w:ascii="Book Antiqua" w:hAnsi="Book Antiqua" w:cs="Helvetica"/>
          <w:lang w:val="en-US"/>
        </w:rPr>
        <w:t xml:space="preserve">; </w:t>
      </w:r>
      <w:r w:rsidR="00B84DBD">
        <w:rPr>
          <w:rFonts w:ascii="Book Antiqua" w:hAnsi="Book Antiqua" w:cs="Helvetica"/>
          <w:iCs/>
          <w:lang w:val="en-US"/>
        </w:rPr>
        <w:t xml:space="preserve">and </w:t>
      </w:r>
      <w:r w:rsidR="00B84DBD" w:rsidRPr="00176586">
        <w:rPr>
          <w:rFonts w:ascii="Book Antiqua" w:hAnsi="Book Antiqua" w:cs="Helvetica"/>
          <w:i/>
          <w:iCs/>
          <w:lang w:val="en-US"/>
        </w:rPr>
        <w:t>denial of subjectivity</w:t>
      </w:r>
      <w:r w:rsidR="00B84DBD">
        <w:rPr>
          <w:rFonts w:ascii="Book Antiqua" w:hAnsi="Book Antiqua" w:cs="Helvetica"/>
          <w:lang w:val="en-US"/>
        </w:rPr>
        <w:t xml:space="preserve"> in a more complex ‘double-edged’ way.  </w:t>
      </w:r>
    </w:p>
    <w:p w14:paraId="174AFCB8" w14:textId="15FE8C52" w:rsidR="00567AF6" w:rsidRDefault="00567AF6" w:rsidP="00154AC5">
      <w:pPr>
        <w:spacing w:line="360" w:lineRule="auto"/>
        <w:ind w:firstLine="720"/>
        <w:jc w:val="both"/>
        <w:rPr>
          <w:rFonts w:ascii="Book Antiqua" w:hAnsi="Book Antiqua" w:cs="Helvetica"/>
        </w:rPr>
      </w:pPr>
      <w:r>
        <w:rPr>
          <w:rFonts w:ascii="Book Antiqua" w:hAnsi="Book Antiqua" w:cs="Helvetica"/>
        </w:rPr>
        <w:t xml:space="preserve">I will </w:t>
      </w:r>
      <w:r w:rsidR="008231A4">
        <w:rPr>
          <w:rFonts w:ascii="Book Antiqua" w:hAnsi="Book Antiqua" w:cs="Helvetica"/>
        </w:rPr>
        <w:t>then consider</w:t>
      </w:r>
      <w:r>
        <w:rPr>
          <w:rFonts w:ascii="Book Antiqua" w:hAnsi="Book Antiqua" w:cs="Helvetica"/>
        </w:rPr>
        <w:t xml:space="preserve"> arguments </w:t>
      </w:r>
      <w:r w:rsidR="00264E99">
        <w:rPr>
          <w:rFonts w:ascii="Book Antiqua" w:hAnsi="Book Antiqua" w:cs="Helvetica"/>
        </w:rPr>
        <w:t xml:space="preserve">from Nussbaum and Leslie Green </w:t>
      </w:r>
      <w:r>
        <w:rPr>
          <w:rFonts w:ascii="Book Antiqua" w:hAnsi="Book Antiqua" w:cs="Helvetica"/>
        </w:rPr>
        <w:t>that objectification may not always be objectionable but can be</w:t>
      </w:r>
      <w:r w:rsidR="00264E99">
        <w:rPr>
          <w:rFonts w:ascii="Book Antiqua" w:hAnsi="Book Antiqua" w:cs="Helvetica"/>
        </w:rPr>
        <w:t xml:space="preserve"> an important part of human flourishing</w:t>
      </w:r>
      <w:r>
        <w:rPr>
          <w:rFonts w:ascii="Book Antiqua" w:hAnsi="Book Antiqua" w:cs="Helvetica"/>
        </w:rPr>
        <w:t xml:space="preserve">.  It </w:t>
      </w:r>
      <w:r w:rsidR="00B84DBD">
        <w:rPr>
          <w:rFonts w:ascii="Book Antiqua" w:hAnsi="Book Antiqua" w:cs="Helvetica"/>
        </w:rPr>
        <w:t xml:space="preserve">might be tempting to think that the role portrayed in the Model of Motherhood </w:t>
      </w:r>
      <w:r w:rsidR="003E7330">
        <w:rPr>
          <w:rFonts w:ascii="Book Antiqua" w:hAnsi="Book Antiqua" w:cs="Helvetica"/>
        </w:rPr>
        <w:t>is</w:t>
      </w:r>
      <w:r w:rsidR="00B84DBD">
        <w:rPr>
          <w:rFonts w:ascii="Book Antiqua" w:hAnsi="Book Antiqua" w:cs="Helvetica"/>
        </w:rPr>
        <w:t xml:space="preserve"> valuable in part because of the very features which I suggest make it objectifying: the instrumentality of motherhood is valuable because we find meaning in lives that are useful to others and in being needed by others; the violability is valuable because the blurred boundaries between child and mother allows us to experience a uniquely valuable connection to another</w:t>
      </w:r>
      <w:r>
        <w:rPr>
          <w:rFonts w:ascii="Book Antiqua" w:hAnsi="Book Antiqua" w:cs="Helvetica"/>
        </w:rPr>
        <w:t>.</w:t>
      </w:r>
      <w:r w:rsidR="00B84DBD">
        <w:rPr>
          <w:rFonts w:ascii="Book Antiqua" w:hAnsi="Book Antiqua" w:cs="Helvetica"/>
        </w:rPr>
        <w:t xml:space="preserve"> Drawing on Green’s discussion, I will propose an important amendment to N</w:t>
      </w:r>
      <w:r w:rsidR="0043512C">
        <w:rPr>
          <w:rFonts w:ascii="Book Antiqua" w:hAnsi="Book Antiqua" w:cs="Helvetica"/>
        </w:rPr>
        <w:t>ussbaum’s analysis of objecti</w:t>
      </w:r>
      <w:r w:rsidR="00B84DBD">
        <w:rPr>
          <w:rFonts w:ascii="Book Antiqua" w:hAnsi="Book Antiqua" w:cs="Helvetica"/>
        </w:rPr>
        <w:t xml:space="preserve">fication.  I suggest that each of </w:t>
      </w:r>
      <w:r w:rsidR="00B66F62">
        <w:rPr>
          <w:rFonts w:ascii="Book Antiqua" w:hAnsi="Book Antiqua" w:cs="Helvetica"/>
        </w:rPr>
        <w:t xml:space="preserve">the </w:t>
      </w:r>
      <w:r w:rsidR="00B84DBD">
        <w:rPr>
          <w:rFonts w:ascii="Book Antiqua" w:hAnsi="Book Antiqua" w:cs="Helvetica"/>
        </w:rPr>
        <w:t>object-appropriate features of treatment highlighted by Nussbaum is only objectification if it involves treating a person as an object in that respect in a way</w:t>
      </w:r>
      <w:r w:rsidR="00B66F62">
        <w:rPr>
          <w:rFonts w:ascii="Book Antiqua" w:hAnsi="Book Antiqua" w:cs="Helvetica"/>
        </w:rPr>
        <w:t xml:space="preserve"> (or to an extent)</w:t>
      </w:r>
      <w:r w:rsidR="00B84DBD">
        <w:rPr>
          <w:rFonts w:ascii="Book Antiqua" w:hAnsi="Book Antiqua" w:cs="Helvetica"/>
        </w:rPr>
        <w:t xml:space="preserve"> incompatible with appropriate treatment of a person.  Thus the examples Nussbaum discusses are not instances of ‘wonderful’ objectification: they</w:t>
      </w:r>
      <w:r w:rsidR="0043512C">
        <w:rPr>
          <w:rFonts w:ascii="Book Antiqua" w:hAnsi="Book Antiqua" w:cs="Helvetica"/>
        </w:rPr>
        <w:t xml:space="preserve"> are not instances of objectification at all.  This does not rebut the original objection to my argument: those who were originally worried about whether the objectification involved in the Model of Motherhood is objectionable will now be worried about whether the object-appropriate treatment is objectification.  </w:t>
      </w:r>
      <w:r>
        <w:rPr>
          <w:rFonts w:ascii="Book Antiqua" w:hAnsi="Book Antiqua" w:cs="Helvetica"/>
        </w:rPr>
        <w:t>I will</w:t>
      </w:r>
      <w:r w:rsidR="0043512C">
        <w:rPr>
          <w:rFonts w:ascii="Book Antiqua" w:hAnsi="Book Antiqua" w:cs="Helvetica"/>
        </w:rPr>
        <w:t xml:space="preserve"> argue that </w:t>
      </w:r>
      <w:r>
        <w:rPr>
          <w:rFonts w:ascii="Book Antiqua" w:hAnsi="Book Antiqua" w:cs="Helvetica"/>
        </w:rPr>
        <w:t xml:space="preserve">the </w:t>
      </w:r>
      <w:r w:rsidR="00747DCA">
        <w:rPr>
          <w:rFonts w:ascii="Book Antiqua" w:hAnsi="Book Antiqua" w:cs="Helvetica"/>
        </w:rPr>
        <w:t>Model of M</w:t>
      </w:r>
      <w:r>
        <w:rPr>
          <w:rFonts w:ascii="Book Antiqua" w:hAnsi="Book Antiqua" w:cs="Helvetica"/>
        </w:rPr>
        <w:t>otherhood i</w:t>
      </w:r>
      <w:r w:rsidR="0043512C">
        <w:rPr>
          <w:rFonts w:ascii="Book Antiqua" w:hAnsi="Book Antiqua" w:cs="Helvetica"/>
        </w:rPr>
        <w:t xml:space="preserve">nvolves objectionable objectification because the object-appropriate treatment it involves is (a) coerced; (b) extreme and (c) long-term.  Nonetheless, I will suggest that reflection on motherhood does highlight various ways in which object-appropriate treatment can be an important aspect of human flourishing.  Thus we should both modify our understanding of motherhood and revise our understanding of the treatment appropriate </w:t>
      </w:r>
      <w:r w:rsidR="003E7330">
        <w:rPr>
          <w:rFonts w:ascii="Book Antiqua" w:hAnsi="Book Antiqua" w:cs="Helvetica"/>
        </w:rPr>
        <w:t>for</w:t>
      </w:r>
      <w:r w:rsidR="0043512C">
        <w:rPr>
          <w:rFonts w:ascii="Book Antiqua" w:hAnsi="Book Antiqua" w:cs="Helvetica"/>
        </w:rPr>
        <w:t xml:space="preserve"> persons.</w:t>
      </w:r>
    </w:p>
    <w:p w14:paraId="12893B01" w14:textId="702E926B" w:rsidR="0098166E" w:rsidRDefault="00567AF6" w:rsidP="00154AC5">
      <w:pPr>
        <w:spacing w:line="360" w:lineRule="auto"/>
        <w:jc w:val="both"/>
        <w:rPr>
          <w:rFonts w:ascii="Book Antiqua" w:hAnsi="Book Antiqua" w:cs="Helvetica"/>
          <w:lang w:val="en-US"/>
        </w:rPr>
      </w:pPr>
      <w:r>
        <w:rPr>
          <w:rFonts w:ascii="Book Antiqua" w:hAnsi="Book Antiqua" w:cs="Helvetica"/>
        </w:rPr>
        <w:tab/>
        <w:t xml:space="preserve">Although </w:t>
      </w:r>
      <w:r w:rsidR="00B66F62">
        <w:rPr>
          <w:rFonts w:ascii="Book Antiqua" w:hAnsi="Book Antiqua" w:cs="Helvetica"/>
        </w:rPr>
        <w:t xml:space="preserve">I focus </w:t>
      </w:r>
      <w:r>
        <w:rPr>
          <w:rFonts w:ascii="Book Antiqua" w:hAnsi="Book Antiqua" w:cs="Helvetica"/>
        </w:rPr>
        <w:t xml:space="preserve">on </w:t>
      </w:r>
      <w:r w:rsidR="008231A4">
        <w:rPr>
          <w:rFonts w:ascii="Book Antiqua" w:hAnsi="Book Antiqua" w:cs="Helvetica"/>
        </w:rPr>
        <w:t>the Nussbaum/ Langton</w:t>
      </w:r>
      <w:r w:rsidR="00356290">
        <w:rPr>
          <w:rFonts w:ascii="Book Antiqua" w:hAnsi="Book Antiqua" w:cs="Helvetica"/>
        </w:rPr>
        <w:t xml:space="preserve"> </w:t>
      </w:r>
      <w:r w:rsidR="008231A4">
        <w:rPr>
          <w:rFonts w:ascii="Book Antiqua" w:hAnsi="Book Antiqua" w:cs="Helvetica"/>
        </w:rPr>
        <w:t xml:space="preserve">analysis of objectification, the discussion also has implications for other approaches </w:t>
      </w:r>
      <w:r w:rsidR="008231A4">
        <w:rPr>
          <w:rFonts w:ascii="Book Antiqua" w:hAnsi="Book Antiqua" w:cs="Helvetica"/>
        </w:rPr>
        <w:lastRenderedPageBreak/>
        <w:t xml:space="preserve">to understanding objectification.  In my final section, I will </w:t>
      </w:r>
      <w:r w:rsidR="008231A4">
        <w:rPr>
          <w:rFonts w:ascii="Book Antiqua" w:hAnsi="Book Antiqua" w:cs="Helvetica"/>
          <w:lang w:val="en-US"/>
        </w:rPr>
        <w:t xml:space="preserve">briefly discuss some other approaches to objectification, including the classic Dworkin/ MacKinnon account, the Bordo/ Bartky account, and Sally Haslanger and Nancy Bauer’s non-analytic approach.  </w:t>
      </w:r>
      <w:r w:rsidR="007C06FD">
        <w:rPr>
          <w:rFonts w:ascii="Book Antiqua" w:hAnsi="Book Antiqua" w:cs="Helvetica"/>
          <w:lang w:val="en-US"/>
        </w:rPr>
        <w:t>N</w:t>
      </w:r>
      <w:r w:rsidR="008231A4">
        <w:rPr>
          <w:rFonts w:ascii="Book Antiqua" w:hAnsi="Book Antiqua" w:cs="Helvetica"/>
          <w:lang w:val="en-US"/>
        </w:rPr>
        <w:t>ot only does considering these approaches support understanding the way we think about motherhood as involving objectification, but thinking about objectification in motherhood highlights some of the ways in which these accounts need to be developed.</w:t>
      </w:r>
    </w:p>
    <w:p w14:paraId="04538169" w14:textId="5E24E1AB" w:rsidR="0098166E" w:rsidRDefault="0098166E" w:rsidP="00154AC5">
      <w:pPr>
        <w:spacing w:line="360" w:lineRule="auto"/>
        <w:jc w:val="both"/>
        <w:rPr>
          <w:rFonts w:ascii="Book Antiqua" w:hAnsi="Book Antiqua" w:cs="Helvetica"/>
          <w:lang w:val="en-US"/>
        </w:rPr>
      </w:pPr>
      <w:r>
        <w:rPr>
          <w:rFonts w:ascii="Book Antiqua" w:hAnsi="Book Antiqua" w:cs="Helvetica"/>
          <w:lang w:val="en-US"/>
        </w:rPr>
        <w:tab/>
        <w:t xml:space="preserve">This paper draws on two already established bodies of work: work by Amy Mullin and Rebecca Kukla, among others, on the way in which a picture of mothers as naturally self-sacrificing influences discussion of and treatment of mothers and pregnant women; work by Nussbaum and Langton, among many others, on the notion of objectification.  The paper’s distinctive contribution is to bring those two discussions together, exploring what we can learn about the model of motherhood by </w:t>
      </w:r>
      <w:r w:rsidR="00DD4A1F">
        <w:rPr>
          <w:rFonts w:ascii="Book Antiqua" w:hAnsi="Book Antiqua" w:cs="Helvetica"/>
          <w:lang w:val="en-US"/>
        </w:rPr>
        <w:t xml:space="preserve">explicitly </w:t>
      </w:r>
      <w:r>
        <w:rPr>
          <w:rFonts w:ascii="Book Antiqua" w:hAnsi="Book Antiqua" w:cs="Helvetica"/>
          <w:lang w:val="en-US"/>
        </w:rPr>
        <w:t xml:space="preserve">thinking about it in terms of objectification and what we can learn about objectification by thinking about motherhood.    </w:t>
      </w:r>
    </w:p>
    <w:p w14:paraId="25A26A7E" w14:textId="331B2567" w:rsidR="0098166E" w:rsidRDefault="0098166E" w:rsidP="00154AC5">
      <w:pPr>
        <w:spacing w:line="360" w:lineRule="auto"/>
        <w:jc w:val="both"/>
        <w:rPr>
          <w:rFonts w:ascii="Book Antiqua" w:hAnsi="Book Antiqua" w:cs="Helvetica"/>
        </w:rPr>
      </w:pPr>
      <w:r>
        <w:rPr>
          <w:rFonts w:ascii="Book Antiqua" w:hAnsi="Book Antiqua" w:cs="Helvetica"/>
          <w:lang w:val="en-US"/>
        </w:rPr>
        <w:tab/>
        <w:t xml:space="preserve"> </w:t>
      </w:r>
    </w:p>
    <w:p w14:paraId="3AECEBB1" w14:textId="77777777" w:rsidR="00F27462" w:rsidRPr="00731EFF" w:rsidRDefault="00F27462" w:rsidP="00154AC5">
      <w:pPr>
        <w:spacing w:line="360" w:lineRule="auto"/>
        <w:jc w:val="both"/>
        <w:rPr>
          <w:rFonts w:ascii="Book Antiqua" w:hAnsi="Book Antiqua" w:cs="Helvetica"/>
        </w:rPr>
      </w:pPr>
    </w:p>
    <w:p w14:paraId="6B6A96E0" w14:textId="659740DF" w:rsidR="00E05E1B" w:rsidRDefault="00B21493" w:rsidP="00154AC5">
      <w:pPr>
        <w:spacing w:line="360" w:lineRule="auto"/>
        <w:jc w:val="both"/>
        <w:rPr>
          <w:rFonts w:ascii="Book Antiqua" w:hAnsi="Book Antiqua" w:cs="Helvetica"/>
          <w:lang w:val="en-US"/>
        </w:rPr>
      </w:pPr>
      <w:r>
        <w:rPr>
          <w:rFonts w:ascii="Book Antiqua" w:hAnsi="Book Antiqua" w:cs="Helvetica"/>
          <w:b/>
          <w:lang w:val="en-US"/>
        </w:rPr>
        <w:t xml:space="preserve">The </w:t>
      </w:r>
      <w:r w:rsidR="0043512C">
        <w:rPr>
          <w:rFonts w:ascii="Book Antiqua" w:hAnsi="Book Antiqua" w:cs="Helvetica"/>
          <w:b/>
          <w:lang w:val="en-US"/>
        </w:rPr>
        <w:t>Model</w:t>
      </w:r>
      <w:r>
        <w:rPr>
          <w:rFonts w:ascii="Book Antiqua" w:hAnsi="Book Antiqua" w:cs="Helvetica"/>
          <w:b/>
          <w:lang w:val="en-US"/>
        </w:rPr>
        <w:t xml:space="preserve"> of Motherhood</w:t>
      </w:r>
    </w:p>
    <w:p w14:paraId="4AB3F46A" w14:textId="4BF1A3EE" w:rsidR="0043512C" w:rsidRDefault="005D55B4" w:rsidP="00154AC5">
      <w:pPr>
        <w:spacing w:line="360" w:lineRule="auto"/>
        <w:jc w:val="both"/>
        <w:rPr>
          <w:rFonts w:ascii="Book Antiqua" w:hAnsi="Book Antiqua" w:cs="Helvetica"/>
        </w:rPr>
      </w:pPr>
      <w:r>
        <w:rPr>
          <w:rFonts w:ascii="Book Antiqua" w:hAnsi="Book Antiqua" w:cs="Helvetica"/>
        </w:rPr>
        <w:t xml:space="preserve">The </w:t>
      </w:r>
      <w:r w:rsidR="0043512C">
        <w:rPr>
          <w:rFonts w:ascii="Book Antiqua" w:hAnsi="Book Antiqua" w:cs="Helvetica"/>
        </w:rPr>
        <w:t xml:space="preserve">way of thinking about motherhood </w:t>
      </w:r>
      <w:r w:rsidR="00B21493">
        <w:rPr>
          <w:rFonts w:ascii="Book Antiqua" w:hAnsi="Book Antiqua" w:cs="Helvetica"/>
        </w:rPr>
        <w:t>in which I am interested i</w:t>
      </w:r>
      <w:r w:rsidR="0026144C">
        <w:rPr>
          <w:rFonts w:ascii="Book Antiqua" w:hAnsi="Book Antiqua" w:cs="Helvetica"/>
        </w:rPr>
        <w:t xml:space="preserve">s nicely illustrated by </w:t>
      </w:r>
      <w:r w:rsidR="00B66F62">
        <w:rPr>
          <w:rFonts w:ascii="Book Antiqua" w:hAnsi="Book Antiqua" w:cs="Helvetica"/>
        </w:rPr>
        <w:t>a</w:t>
      </w:r>
      <w:r w:rsidR="0026144C">
        <w:rPr>
          <w:rFonts w:ascii="Book Antiqua" w:hAnsi="Book Antiqua" w:cs="Helvetica"/>
        </w:rPr>
        <w:t xml:space="preserve"> Mothers Day advert from greetings cards company American Greetings.  The advert, which went viral, showed a fake job interview for the position of “Director of Operations”.  The candidates were told that the job required you to be </w:t>
      </w:r>
      <w:r w:rsidR="001B79F9">
        <w:rPr>
          <w:rFonts w:ascii="Book Antiqua" w:hAnsi="Book Antiqua" w:cs="Helvetica"/>
        </w:rPr>
        <w:t>“</w:t>
      </w:r>
      <w:r w:rsidR="00D83B5A">
        <w:rPr>
          <w:rFonts w:ascii="Book Antiqua" w:hAnsi="Book Antiqua" w:cs="Helvetica"/>
        </w:rPr>
        <w:t>constantly on your feet</w:t>
      </w:r>
      <w:r w:rsidR="0026144C">
        <w:rPr>
          <w:rFonts w:ascii="Book Antiqua" w:hAnsi="Book Antiqua" w:cs="Helvetica"/>
        </w:rPr>
        <w:t xml:space="preserve">.”  They were also told </w:t>
      </w:r>
      <w:r w:rsidR="00D83B5A">
        <w:rPr>
          <w:rFonts w:ascii="Book Antiqua" w:hAnsi="Book Antiqua" w:cs="Helvetica"/>
        </w:rPr>
        <w:t>“There are no breaks available”</w:t>
      </w:r>
      <w:r w:rsidR="0026144C">
        <w:rPr>
          <w:rFonts w:ascii="Book Antiqua" w:hAnsi="Book Antiqua" w:cs="Helvetica"/>
        </w:rPr>
        <w:t>, “no vacations” and “no time to sleep</w:t>
      </w:r>
      <w:r w:rsidR="000B6959">
        <w:rPr>
          <w:rFonts w:ascii="Book Antiqua" w:hAnsi="Book Antiqua" w:cs="Helvetica"/>
        </w:rPr>
        <w:t>.</w:t>
      </w:r>
      <w:r w:rsidR="0026144C">
        <w:rPr>
          <w:rFonts w:ascii="Book Antiqua" w:hAnsi="Book Antiqua" w:cs="Helvetica"/>
        </w:rPr>
        <w:t>”</w:t>
      </w:r>
      <w:r w:rsidR="00D83B5A">
        <w:rPr>
          <w:rFonts w:ascii="Book Antiqua" w:hAnsi="Book Antiqua" w:cs="Helvetica"/>
        </w:rPr>
        <w:t xml:space="preserve"> “You can have lunch but only when the associate has finished their lunch</w:t>
      </w:r>
      <w:r w:rsidR="0026144C">
        <w:rPr>
          <w:rFonts w:ascii="Book Antiqua" w:hAnsi="Book Antiqua" w:cs="Helvetica"/>
        </w:rPr>
        <w:t>.</w:t>
      </w:r>
      <w:r w:rsidR="00D83B5A">
        <w:rPr>
          <w:rFonts w:ascii="Book Antiqua" w:hAnsi="Book Antiqua" w:cs="Helvetica"/>
        </w:rPr>
        <w:t>”  “</w:t>
      </w:r>
      <w:r w:rsidR="0026144C">
        <w:rPr>
          <w:rFonts w:ascii="Book Antiqua" w:hAnsi="Book Antiqua" w:cs="Helvetica"/>
        </w:rPr>
        <w:t xml:space="preserve">The </w:t>
      </w:r>
      <w:r w:rsidR="00D83B5A">
        <w:rPr>
          <w:rFonts w:ascii="Book Antiqua" w:hAnsi="Book Antiqua" w:cs="Helvetica"/>
        </w:rPr>
        <w:t>associate needs constant attention</w:t>
      </w:r>
      <w:r w:rsidR="0026144C">
        <w:rPr>
          <w:rFonts w:ascii="Book Antiqua" w:hAnsi="Book Antiqua" w:cs="Helvetica"/>
        </w:rPr>
        <w:t>.</w:t>
      </w:r>
      <w:r w:rsidR="00D83B5A">
        <w:rPr>
          <w:rFonts w:ascii="Book Antiqua" w:hAnsi="Book Antiqua" w:cs="Helvetica"/>
        </w:rPr>
        <w:t>” “</w:t>
      </w:r>
      <w:r w:rsidR="0026144C">
        <w:rPr>
          <w:rFonts w:ascii="Book Antiqua" w:hAnsi="Book Antiqua" w:cs="Helvetica"/>
        </w:rPr>
        <w:t>I</w:t>
      </w:r>
      <w:r w:rsidR="00D83B5A">
        <w:rPr>
          <w:rFonts w:ascii="Book Antiqua" w:hAnsi="Book Antiqua" w:cs="Helvetica"/>
        </w:rPr>
        <w:t>f you had a life, we’d really ask you to give that life up</w:t>
      </w:r>
      <w:r w:rsidR="0026144C">
        <w:rPr>
          <w:rFonts w:ascii="Book Antiqua" w:hAnsi="Book Antiqua" w:cs="Helvetica"/>
        </w:rPr>
        <w:t>.</w:t>
      </w:r>
      <w:r w:rsidR="00D83B5A">
        <w:rPr>
          <w:rFonts w:ascii="Book Antiqua" w:hAnsi="Book Antiqua" w:cs="Helvetica"/>
        </w:rPr>
        <w:t xml:space="preserve">” </w:t>
      </w:r>
      <w:r w:rsidR="000B6959">
        <w:rPr>
          <w:rFonts w:ascii="Book Antiqua" w:hAnsi="Book Antiqua" w:cs="Helvetica"/>
        </w:rPr>
        <w:t xml:space="preserve">In addition, they were told that they must do all this </w:t>
      </w:r>
      <w:r w:rsidR="00D83B5A">
        <w:rPr>
          <w:rFonts w:ascii="Book Antiqua" w:hAnsi="Book Antiqua" w:cs="Helvetica"/>
        </w:rPr>
        <w:t>“with a happy disposition</w:t>
      </w:r>
      <w:r w:rsidR="000B6959">
        <w:rPr>
          <w:rFonts w:ascii="Book Antiqua" w:hAnsi="Book Antiqua" w:cs="Helvetica"/>
        </w:rPr>
        <w:t>.</w:t>
      </w:r>
      <w:r w:rsidR="00D83B5A">
        <w:rPr>
          <w:rFonts w:ascii="Book Antiqua" w:hAnsi="Book Antiqua" w:cs="Helvetica"/>
        </w:rPr>
        <w:t>”</w:t>
      </w:r>
      <w:r w:rsidR="0026144C">
        <w:rPr>
          <w:rStyle w:val="FootnoteReference"/>
          <w:rFonts w:ascii="Book Antiqua" w:hAnsi="Book Antiqua" w:cs="Helvetica"/>
        </w:rPr>
        <w:footnoteReference w:id="2"/>
      </w:r>
      <w:r w:rsidR="0026144C">
        <w:rPr>
          <w:rFonts w:ascii="Book Antiqua" w:hAnsi="Book Antiqua" w:cs="Helvetica"/>
        </w:rPr>
        <w:t xml:space="preserve"> </w:t>
      </w:r>
      <w:r w:rsidR="000B6959">
        <w:rPr>
          <w:rFonts w:ascii="Book Antiqua" w:hAnsi="Book Antiqua" w:cs="Helvetica"/>
        </w:rPr>
        <w:t xml:space="preserve"> When the </w:t>
      </w:r>
      <w:r w:rsidR="000B6959">
        <w:rPr>
          <w:rFonts w:ascii="Book Antiqua" w:hAnsi="Book Antiqua" w:cs="Helvetica"/>
        </w:rPr>
        <w:lastRenderedPageBreak/>
        <w:t>candidates express disbelief at the demands of this job, they are informed that this job is already held by</w:t>
      </w:r>
      <w:r w:rsidR="00373A9E">
        <w:rPr>
          <w:rFonts w:ascii="Book Antiqua" w:hAnsi="Book Antiqua" w:cs="Helvetica"/>
        </w:rPr>
        <w:t>….</w:t>
      </w:r>
      <w:r w:rsidR="00F27462">
        <w:rPr>
          <w:rFonts w:ascii="Book Antiqua" w:hAnsi="Book Antiqua" w:cs="Helvetica"/>
        </w:rPr>
        <w:t xml:space="preserve"> “Moms!”  </w:t>
      </w:r>
      <w:r w:rsidR="007C06FD">
        <w:rPr>
          <w:rFonts w:ascii="Book Antiqua" w:hAnsi="Book Antiqua" w:cs="Helvetica"/>
        </w:rPr>
        <w:t>T</w:t>
      </w:r>
      <w:r w:rsidR="00F27462">
        <w:rPr>
          <w:rFonts w:ascii="Book Antiqua" w:hAnsi="Book Antiqua" w:cs="Helvetica"/>
        </w:rPr>
        <w:t>he candidates’ eyes well up with tears</w:t>
      </w:r>
      <w:r w:rsidR="000B6959">
        <w:rPr>
          <w:rFonts w:ascii="Book Antiqua" w:hAnsi="Book Antiqua" w:cs="Helvetica"/>
        </w:rPr>
        <w:t xml:space="preserve"> and </w:t>
      </w:r>
      <w:r w:rsidR="00F27462">
        <w:rPr>
          <w:rFonts w:ascii="Book Antiqua" w:hAnsi="Book Antiqua" w:cs="Helvetica"/>
        </w:rPr>
        <w:t>they each vow</w:t>
      </w:r>
      <w:r w:rsidR="000B6959">
        <w:rPr>
          <w:rFonts w:ascii="Book Antiqua" w:hAnsi="Book Antiqua" w:cs="Helvetica"/>
        </w:rPr>
        <w:t xml:space="preserve"> to send their mother a lovely Mothers Day Card.  While I am in favour of appreciating the hard work of </w:t>
      </w:r>
      <w:r w:rsidR="00373A9E">
        <w:rPr>
          <w:rFonts w:ascii="Book Antiqua" w:hAnsi="Book Antiqua" w:cs="Helvetica"/>
        </w:rPr>
        <w:t>parent</w:t>
      </w:r>
      <w:r w:rsidR="000B6959">
        <w:rPr>
          <w:rFonts w:ascii="Book Antiqua" w:hAnsi="Book Antiqua" w:cs="Helvetica"/>
        </w:rPr>
        <w:t xml:space="preserve">ing, the underlying message of the advert is damaging.  It </w:t>
      </w:r>
      <w:r w:rsidR="00373A9E">
        <w:rPr>
          <w:rFonts w:ascii="Book Antiqua" w:hAnsi="Book Antiqua" w:cs="Helvetica"/>
        </w:rPr>
        <w:t xml:space="preserve">presents an exaggerated, unreasonable picture of </w:t>
      </w:r>
      <w:r w:rsidR="000B6959">
        <w:rPr>
          <w:rFonts w:ascii="Book Antiqua" w:hAnsi="Book Antiqua" w:cs="Helvetica"/>
        </w:rPr>
        <w:t xml:space="preserve">what mothers – or good mothers – do.  </w:t>
      </w:r>
      <w:r w:rsidR="00B66F62">
        <w:rPr>
          <w:rFonts w:ascii="Book Antiqua" w:hAnsi="Book Antiqua" w:cs="Helvetica"/>
        </w:rPr>
        <w:t>A</w:t>
      </w:r>
      <w:r w:rsidR="00373A9E">
        <w:rPr>
          <w:rFonts w:ascii="Book Antiqua" w:hAnsi="Book Antiqua" w:cs="Helvetica"/>
        </w:rPr>
        <w:t xml:space="preserve"> mother</w:t>
      </w:r>
      <w:r w:rsidR="000B6959">
        <w:rPr>
          <w:rFonts w:ascii="Book Antiqua" w:hAnsi="Book Antiqua" w:cs="Helvetica"/>
        </w:rPr>
        <w:t xml:space="preserve"> does not expect breaks or help.  She does not have her own interests or needs.  If she happened to have a life before becoming a mother, she must </w:t>
      </w:r>
      <w:r w:rsidR="00B66F62">
        <w:rPr>
          <w:rFonts w:ascii="Book Antiqua" w:hAnsi="Book Antiqua" w:cs="Helvetica"/>
        </w:rPr>
        <w:t xml:space="preserve">cheerfully </w:t>
      </w:r>
      <w:r w:rsidR="000B6959">
        <w:rPr>
          <w:rFonts w:ascii="Book Antiqua" w:hAnsi="Book Antiqua" w:cs="Helvetica"/>
        </w:rPr>
        <w:t xml:space="preserve">give that life up.  </w:t>
      </w:r>
      <w:r w:rsidR="00DC360B">
        <w:rPr>
          <w:rFonts w:ascii="Book Antiqua" w:hAnsi="Book Antiqua" w:cs="Helvetica"/>
        </w:rPr>
        <w:t xml:space="preserve">In </w:t>
      </w:r>
      <w:r w:rsidR="00B21493">
        <w:rPr>
          <w:rFonts w:ascii="Book Antiqua" w:hAnsi="Book Antiqua" w:cs="Helvetica"/>
        </w:rPr>
        <w:t>Mullin’s words</w:t>
      </w:r>
      <w:r w:rsidR="00DC360B">
        <w:rPr>
          <w:rFonts w:ascii="Book Antiqua" w:hAnsi="Book Antiqua" w:cs="Helvetica"/>
        </w:rPr>
        <w:t xml:space="preserve">:  </w:t>
      </w:r>
      <w:r w:rsidR="00DC360B" w:rsidRPr="001B79F9">
        <w:rPr>
          <w:rFonts w:ascii="Book Antiqua" w:hAnsi="Book Antiqua" w:cs="Helvetica"/>
        </w:rPr>
        <w:t>“</w:t>
      </w:r>
      <w:r w:rsidR="00DC360B" w:rsidRPr="001B79F9">
        <w:rPr>
          <w:rFonts w:ascii="Book Antiqua" w:hAnsi="Book Antiqua"/>
        </w:rPr>
        <w:t>Motherhood is supposed to involve endless self-sacrifice that is thought to come naturally to women, and furthermore this self-sacrifice is supposed to bring women happiness.  Finally mothers are expected to tend to all the needs of their children, on their own, with the exception of financial resources that are supposed to come from fathers</w:t>
      </w:r>
      <w:r w:rsidR="00373A9E">
        <w:rPr>
          <w:rFonts w:ascii="Book Antiqua" w:hAnsi="Book Antiqua"/>
        </w:rPr>
        <w:t>.</w:t>
      </w:r>
      <w:r w:rsidR="00DC360B" w:rsidRPr="001B79F9">
        <w:rPr>
          <w:rFonts w:ascii="Book Antiqua" w:hAnsi="Book Antiqua"/>
        </w:rPr>
        <w:t>”</w:t>
      </w:r>
      <w:r w:rsidR="00DC360B" w:rsidRPr="001B79F9">
        <w:rPr>
          <w:rStyle w:val="FootnoteReference"/>
          <w:rFonts w:ascii="Book Antiqua" w:hAnsi="Book Antiqua"/>
        </w:rPr>
        <w:footnoteReference w:id="3"/>
      </w:r>
      <w:r w:rsidR="00DC360B" w:rsidRPr="001B79F9">
        <w:rPr>
          <w:rFonts w:ascii="Book Antiqua" w:hAnsi="Book Antiqua"/>
        </w:rPr>
        <w:t xml:space="preserve"> </w:t>
      </w:r>
      <w:r w:rsidR="00373A9E">
        <w:rPr>
          <w:rFonts w:ascii="Book Antiqua" w:hAnsi="Book Antiqua"/>
        </w:rPr>
        <w:t xml:space="preserve"> There is no mention of a co-Director of Operations sharing shifts in the American Greetings job description</w:t>
      </w:r>
      <w:r>
        <w:rPr>
          <w:rFonts w:ascii="Book Antiqua" w:hAnsi="Book Antiqua"/>
        </w:rPr>
        <w:t>, let alone of support from a wider community</w:t>
      </w:r>
      <w:r w:rsidR="00373A9E">
        <w:rPr>
          <w:rFonts w:ascii="Book Antiqua" w:hAnsi="Book Antiqua"/>
        </w:rPr>
        <w:t>.</w:t>
      </w:r>
      <w:r w:rsidR="00373A9E">
        <w:rPr>
          <w:rStyle w:val="FootnoteReference"/>
          <w:rFonts w:ascii="Book Antiqua" w:hAnsi="Book Antiqua"/>
        </w:rPr>
        <w:footnoteReference w:id="4"/>
      </w:r>
      <w:r w:rsidR="00DC360B" w:rsidRPr="001B79F9">
        <w:rPr>
          <w:rFonts w:ascii="Book Antiqua" w:hAnsi="Book Antiqua" w:cs="Helvetica"/>
        </w:rPr>
        <w:t xml:space="preserve"> </w:t>
      </w:r>
    </w:p>
    <w:p w14:paraId="56DD0262" w14:textId="4DED2E41" w:rsidR="0043512C" w:rsidRDefault="0043512C" w:rsidP="00154AC5">
      <w:pPr>
        <w:spacing w:line="360" w:lineRule="auto"/>
        <w:jc w:val="both"/>
        <w:rPr>
          <w:rFonts w:ascii="Book Antiqua" w:hAnsi="Book Antiqua" w:cs="Helvetica"/>
          <w:lang w:val="en-US"/>
        </w:rPr>
      </w:pPr>
      <w:r>
        <w:rPr>
          <w:rFonts w:ascii="Book Antiqua" w:hAnsi="Book Antiqua" w:cs="Helvetica"/>
        </w:rPr>
        <w:tab/>
        <w:t xml:space="preserve">The phenomenon that I call the Model of Motherhood is closely related to what Amy Mullin calls </w:t>
      </w:r>
      <w:r>
        <w:rPr>
          <w:rFonts w:ascii="Book Antiqua" w:hAnsi="Book Antiqua" w:cs="Helvetica"/>
          <w:lang w:val="en-US"/>
        </w:rPr>
        <w:t>“the ideology of motherhood”</w:t>
      </w:r>
      <w:r>
        <w:rPr>
          <w:rStyle w:val="FootnoteReference"/>
          <w:rFonts w:ascii="Book Antiqua" w:hAnsi="Book Antiqua" w:cs="Helvetica"/>
        </w:rPr>
        <w:footnoteReference w:id="5"/>
      </w:r>
      <w:r>
        <w:rPr>
          <w:rFonts w:ascii="Book Antiqua" w:hAnsi="Book Antiqua" w:cs="Helvetica"/>
          <w:lang w:val="en-US"/>
        </w:rPr>
        <w:t xml:space="preserve"> and </w:t>
      </w:r>
      <w:r w:rsidR="00B66F62">
        <w:rPr>
          <w:rFonts w:ascii="Book Antiqua" w:hAnsi="Book Antiqua" w:cs="Helvetica"/>
          <w:lang w:val="en-US"/>
        </w:rPr>
        <w:t>share</w:t>
      </w:r>
      <w:r w:rsidR="003E7330">
        <w:rPr>
          <w:rFonts w:ascii="Book Antiqua" w:hAnsi="Book Antiqua" w:cs="Helvetica"/>
          <w:lang w:val="en-US"/>
        </w:rPr>
        <w:t>s</w:t>
      </w:r>
      <w:r w:rsidR="00B66F62">
        <w:rPr>
          <w:rFonts w:ascii="Book Antiqua" w:hAnsi="Book Antiqua" w:cs="Helvetica"/>
          <w:lang w:val="en-US"/>
        </w:rPr>
        <w:t xml:space="preserve"> significant features with</w:t>
      </w:r>
      <w:r w:rsidR="00235399">
        <w:rPr>
          <w:rFonts w:ascii="Book Antiqua" w:hAnsi="Book Antiqua" w:cs="Helvetica"/>
          <w:lang w:val="en-US"/>
        </w:rPr>
        <w:t xml:space="preserve"> what </w:t>
      </w:r>
      <w:r>
        <w:rPr>
          <w:rFonts w:ascii="Book Antiqua" w:hAnsi="Book Antiqua" w:cs="Helvetica"/>
          <w:lang w:val="en-US"/>
        </w:rPr>
        <w:t>Rebecca Kukla calls the “Fetish Mother”.</w:t>
      </w:r>
      <w:r w:rsidR="00235399">
        <w:rPr>
          <w:rStyle w:val="FootnoteReference"/>
          <w:rFonts w:ascii="Book Antiqua" w:hAnsi="Book Antiqua" w:cs="Helvetica"/>
          <w:lang w:val="en-US"/>
        </w:rPr>
        <w:footnoteReference w:id="6"/>
      </w:r>
      <w:r w:rsidR="005C0449">
        <w:rPr>
          <w:rFonts w:ascii="Book Antiqua" w:hAnsi="Book Antiqua" w:cs="Helvetica"/>
          <w:lang w:val="en-US"/>
        </w:rPr>
        <w:t xml:space="preserve">  Mullin explains, </w:t>
      </w:r>
      <w:r w:rsidR="005C0449" w:rsidRPr="00E05E1B">
        <w:rPr>
          <w:rFonts w:ascii="Book Antiqua" w:hAnsi="Book Antiqua" w:cs="Helvetica"/>
        </w:rPr>
        <w:t>“The ideology of motherhood, like all ideological constructions, makes claims both about what its subject is like and what it should be like, often blur</w:t>
      </w:r>
      <w:r w:rsidR="005C0449">
        <w:rPr>
          <w:rFonts w:ascii="Book Antiqua" w:hAnsi="Book Antiqua" w:cs="Helvetica"/>
        </w:rPr>
        <w:t>ring the line between the two.”</w:t>
      </w:r>
      <w:r w:rsidR="005C0449">
        <w:rPr>
          <w:rStyle w:val="FootnoteReference"/>
          <w:rFonts w:ascii="Book Antiqua" w:hAnsi="Book Antiqua" w:cs="Helvetica"/>
        </w:rPr>
        <w:footnoteReference w:id="7"/>
      </w:r>
      <w:r w:rsidR="005C0449">
        <w:rPr>
          <w:rFonts w:ascii="Book Antiqua" w:hAnsi="Book Antiqua" w:cs="Helvetica"/>
        </w:rPr>
        <w:t xml:space="preserve"> It presents a picture of what mothers will naturally feel or do and then uses this picture to measure women’s mothering as adequate or inadequate. </w:t>
      </w:r>
      <w:r w:rsidR="005C0449">
        <w:rPr>
          <w:rFonts w:ascii="Book Antiqua" w:hAnsi="Book Antiqua" w:cs="Helvetica"/>
        </w:rPr>
        <w:lastRenderedPageBreak/>
        <w:t>The mother is pictured as a selfless saint, happily subsuming her own needs and de</w:t>
      </w:r>
      <w:r w:rsidR="00235399">
        <w:rPr>
          <w:rFonts w:ascii="Book Antiqua" w:hAnsi="Book Antiqua" w:cs="Helvetica"/>
        </w:rPr>
        <w:t>sires to those of her children.  I have not followed Mullin’s terminology, because the word</w:t>
      </w:r>
      <w:r>
        <w:rPr>
          <w:rFonts w:ascii="Book Antiqua" w:hAnsi="Book Antiqua" w:cs="Helvetica"/>
          <w:lang w:val="en-US"/>
        </w:rPr>
        <w:t xml:space="preserve"> ‘ideology’ is used in many different ways</w:t>
      </w:r>
      <w:r>
        <w:rPr>
          <w:rStyle w:val="FootnoteReference"/>
          <w:rFonts w:ascii="Book Antiqua" w:hAnsi="Book Antiqua" w:cs="Helvetica"/>
          <w:lang w:val="en-US"/>
        </w:rPr>
        <w:footnoteReference w:id="8"/>
      </w:r>
      <w:r>
        <w:rPr>
          <w:rFonts w:ascii="Book Antiqua" w:hAnsi="Book Antiqua" w:cs="Helvetica"/>
          <w:lang w:val="en-US"/>
        </w:rPr>
        <w:t>, and it is not entirely clear from th</w:t>
      </w:r>
      <w:r w:rsidR="00B66F62">
        <w:rPr>
          <w:rFonts w:ascii="Book Antiqua" w:hAnsi="Book Antiqua" w:cs="Helvetica"/>
          <w:lang w:val="en-US"/>
        </w:rPr>
        <w:t>e text which meaning(s) Mullin</w:t>
      </w:r>
      <w:r>
        <w:rPr>
          <w:rFonts w:ascii="Book Antiqua" w:hAnsi="Book Antiqua" w:cs="Helvetica"/>
          <w:lang w:val="en-US"/>
        </w:rPr>
        <w:t xml:space="preserve"> intends</w:t>
      </w:r>
      <w:r w:rsidR="00235399">
        <w:rPr>
          <w:rFonts w:ascii="Book Antiqua" w:hAnsi="Book Antiqua" w:cs="Helvetica"/>
          <w:lang w:val="en-US"/>
        </w:rPr>
        <w:t>.  She does not offer a def</w:t>
      </w:r>
      <w:r w:rsidR="00B66F62">
        <w:rPr>
          <w:rFonts w:ascii="Book Antiqua" w:hAnsi="Book Antiqua" w:cs="Helvetica"/>
          <w:lang w:val="en-US"/>
        </w:rPr>
        <w:t>inition of ‘ideology’.  I want</w:t>
      </w:r>
      <w:r w:rsidR="00235399">
        <w:rPr>
          <w:rFonts w:ascii="Book Antiqua" w:hAnsi="Book Antiqua" w:cs="Helvetica"/>
          <w:lang w:val="en-US"/>
        </w:rPr>
        <w:t xml:space="preserve"> to avoid uninten</w:t>
      </w:r>
      <w:r w:rsidR="00B66F62">
        <w:rPr>
          <w:rFonts w:ascii="Book Antiqua" w:hAnsi="Book Antiqua" w:cs="Helvetica"/>
          <w:lang w:val="en-US"/>
        </w:rPr>
        <w:t>tionally endorsing claims with which I may not agree</w:t>
      </w:r>
      <w:r w:rsidR="00235399">
        <w:rPr>
          <w:rFonts w:ascii="Book Antiqua" w:hAnsi="Book Antiqua" w:cs="Helvetica"/>
          <w:lang w:val="en-US"/>
        </w:rPr>
        <w:t xml:space="preserve"> due to aspects of the concept of ‘ideology’ or conations of the term ‘ideology’</w:t>
      </w:r>
      <w:r w:rsidR="00B66F62">
        <w:rPr>
          <w:rFonts w:ascii="Book Antiqua" w:hAnsi="Book Antiqua" w:cs="Helvetica"/>
          <w:lang w:val="en-US"/>
        </w:rPr>
        <w:t xml:space="preserve"> that I haven’t considered</w:t>
      </w:r>
      <w:r>
        <w:rPr>
          <w:rFonts w:ascii="Book Antiqua" w:hAnsi="Book Antiqua" w:cs="Helvetica"/>
          <w:lang w:val="en-US"/>
        </w:rPr>
        <w:t>.</w:t>
      </w:r>
      <w:r w:rsidR="00235399">
        <w:rPr>
          <w:rStyle w:val="FootnoteReference"/>
          <w:rFonts w:ascii="Book Antiqua" w:hAnsi="Book Antiqua" w:cs="Helvetica"/>
          <w:lang w:val="en-US"/>
        </w:rPr>
        <w:footnoteReference w:id="9"/>
      </w:r>
      <w:r w:rsidR="00235399">
        <w:rPr>
          <w:rFonts w:ascii="Book Antiqua" w:hAnsi="Book Antiqua" w:cs="Helvetica"/>
          <w:lang w:val="en-US"/>
        </w:rPr>
        <w:t xml:space="preserve"> </w:t>
      </w:r>
      <w:r w:rsidR="00B66F62">
        <w:rPr>
          <w:rFonts w:ascii="Book Antiqua" w:hAnsi="Book Antiqua" w:cs="Helvetica"/>
          <w:lang w:val="en-US"/>
        </w:rPr>
        <w:t>T</w:t>
      </w:r>
      <w:r>
        <w:rPr>
          <w:rFonts w:ascii="Book Antiqua" w:hAnsi="Book Antiqua" w:cs="Helvetica"/>
          <w:lang w:val="en-US"/>
        </w:rPr>
        <w:t xml:space="preserve">he crucial elements in </w:t>
      </w:r>
      <w:r w:rsidR="00235399">
        <w:rPr>
          <w:rFonts w:ascii="Book Antiqua" w:hAnsi="Book Antiqua" w:cs="Helvetica"/>
          <w:lang w:val="en-US"/>
        </w:rPr>
        <w:t>Mullin’s</w:t>
      </w:r>
      <w:r>
        <w:rPr>
          <w:rFonts w:ascii="Book Antiqua" w:hAnsi="Book Antiqua" w:cs="Helvetica"/>
          <w:lang w:val="en-US"/>
        </w:rPr>
        <w:t xml:space="preserve"> use of the term</w:t>
      </w:r>
      <w:r w:rsidR="00235399">
        <w:rPr>
          <w:rFonts w:ascii="Book Antiqua" w:hAnsi="Book Antiqua" w:cs="Helvetica"/>
          <w:lang w:val="en-US"/>
        </w:rPr>
        <w:t xml:space="preserve"> ‘ideology of motherhood’</w:t>
      </w:r>
      <w:r>
        <w:rPr>
          <w:rFonts w:ascii="Book Antiqua" w:hAnsi="Book Antiqua" w:cs="Helvetica"/>
          <w:lang w:val="en-US"/>
        </w:rPr>
        <w:t xml:space="preserve"> seem to me to be:</w:t>
      </w:r>
    </w:p>
    <w:p w14:paraId="77B1410A" w14:textId="77777777" w:rsidR="0043512C" w:rsidRDefault="0043512C" w:rsidP="00154AC5">
      <w:pPr>
        <w:pStyle w:val="ListParagraph"/>
        <w:numPr>
          <w:ilvl w:val="0"/>
          <w:numId w:val="4"/>
        </w:numPr>
        <w:spacing w:line="360" w:lineRule="auto"/>
        <w:jc w:val="both"/>
        <w:rPr>
          <w:rFonts w:ascii="Book Antiqua" w:hAnsi="Book Antiqua" w:cs="Helvetica"/>
          <w:lang w:val="en-US"/>
        </w:rPr>
      </w:pPr>
      <w:r>
        <w:rPr>
          <w:rFonts w:ascii="Book Antiqua" w:hAnsi="Book Antiqua" w:cs="Helvetica"/>
          <w:lang w:val="en-US"/>
        </w:rPr>
        <w:t>T</w:t>
      </w:r>
      <w:r w:rsidRPr="008925F2">
        <w:rPr>
          <w:rFonts w:ascii="Book Antiqua" w:hAnsi="Book Antiqua" w:cs="Helvetica"/>
          <w:lang w:val="en-US"/>
        </w:rPr>
        <w:t>he ideology of motherhood is a</w:t>
      </w:r>
      <w:r>
        <w:rPr>
          <w:rFonts w:ascii="Book Antiqua" w:hAnsi="Book Antiqua" w:cs="Helvetica"/>
          <w:lang w:val="en-US"/>
        </w:rPr>
        <w:t xml:space="preserve"> </w:t>
      </w:r>
      <w:r w:rsidRPr="008925F2">
        <w:rPr>
          <w:rFonts w:ascii="Book Antiqua" w:hAnsi="Book Antiqua" w:cs="Helvetica"/>
          <w:lang w:val="en-US"/>
        </w:rPr>
        <w:t>set of ideas about what mothers are like</w:t>
      </w:r>
      <w:r>
        <w:rPr>
          <w:rFonts w:ascii="Book Antiqua" w:hAnsi="Book Antiqua" w:cs="Helvetica"/>
          <w:lang w:val="en-US"/>
        </w:rPr>
        <w:t>.</w:t>
      </w:r>
    </w:p>
    <w:p w14:paraId="66191BDC" w14:textId="77777777" w:rsidR="0043512C" w:rsidRPr="008925F2" w:rsidRDefault="0043512C" w:rsidP="00154AC5">
      <w:pPr>
        <w:pStyle w:val="ListParagraph"/>
        <w:numPr>
          <w:ilvl w:val="0"/>
          <w:numId w:val="4"/>
        </w:numPr>
        <w:spacing w:line="360" w:lineRule="auto"/>
        <w:jc w:val="both"/>
        <w:rPr>
          <w:rFonts w:ascii="Book Antiqua" w:hAnsi="Book Antiqua" w:cs="Helvetica"/>
          <w:lang w:val="en-US"/>
        </w:rPr>
      </w:pPr>
      <w:r>
        <w:rPr>
          <w:rFonts w:ascii="Book Antiqua" w:hAnsi="Book Antiqua" w:cs="Helvetica"/>
          <w:lang w:val="en-US"/>
        </w:rPr>
        <w:t>These ideas have widespread acceptance/influence in our society</w:t>
      </w:r>
    </w:p>
    <w:p w14:paraId="6C4EB13E" w14:textId="77777777" w:rsidR="0043512C" w:rsidRDefault="0043512C" w:rsidP="00154AC5">
      <w:pPr>
        <w:pStyle w:val="ListParagraph"/>
        <w:numPr>
          <w:ilvl w:val="0"/>
          <w:numId w:val="4"/>
        </w:numPr>
        <w:spacing w:line="360" w:lineRule="auto"/>
        <w:jc w:val="both"/>
        <w:rPr>
          <w:rFonts w:ascii="Book Antiqua" w:hAnsi="Book Antiqua" w:cs="Helvetica"/>
          <w:lang w:val="en-US"/>
        </w:rPr>
      </w:pPr>
      <w:r>
        <w:rPr>
          <w:rFonts w:ascii="Book Antiqua" w:hAnsi="Book Antiqua" w:cs="Helvetica"/>
          <w:lang w:val="en-US"/>
        </w:rPr>
        <w:t>We see the ideology of motherhood at play when these ideas are either explicitly stated or implicated assumed.</w:t>
      </w:r>
    </w:p>
    <w:p w14:paraId="21F28E10" w14:textId="77777777" w:rsidR="0043512C" w:rsidRDefault="0043512C" w:rsidP="00154AC5">
      <w:pPr>
        <w:pStyle w:val="ListParagraph"/>
        <w:numPr>
          <w:ilvl w:val="0"/>
          <w:numId w:val="4"/>
        </w:numPr>
        <w:spacing w:line="360" w:lineRule="auto"/>
        <w:jc w:val="both"/>
        <w:rPr>
          <w:rFonts w:ascii="Book Antiqua" w:hAnsi="Book Antiqua" w:cs="Helvetica"/>
          <w:lang w:val="en-US"/>
        </w:rPr>
      </w:pPr>
      <w:r>
        <w:rPr>
          <w:rFonts w:ascii="Book Antiqua" w:hAnsi="Book Antiqua" w:cs="Helvetica"/>
          <w:lang w:val="en-US"/>
        </w:rPr>
        <w:t>The ideas may be expressed in many different ways, for example through the things we say, the things we do, the images we present, our feelings and reactive attitudes, our laws, etc.</w:t>
      </w:r>
    </w:p>
    <w:p w14:paraId="4CF4C6F7" w14:textId="77777777" w:rsidR="00235399" w:rsidRDefault="0043512C" w:rsidP="00154AC5">
      <w:pPr>
        <w:pStyle w:val="ListParagraph"/>
        <w:numPr>
          <w:ilvl w:val="0"/>
          <w:numId w:val="4"/>
        </w:numPr>
        <w:spacing w:line="360" w:lineRule="auto"/>
        <w:jc w:val="both"/>
        <w:rPr>
          <w:rFonts w:ascii="Book Antiqua" w:hAnsi="Book Antiqua" w:cs="Helvetica"/>
          <w:lang w:val="en-US"/>
        </w:rPr>
      </w:pPr>
      <w:r>
        <w:rPr>
          <w:rFonts w:ascii="Book Antiqua" w:hAnsi="Book Antiqua" w:cs="Helvetica"/>
          <w:lang w:val="en-US"/>
        </w:rPr>
        <w:t>The ideology derives normative claims about what mothers should be like from purportedly descriptive claims about what mothers are like.</w:t>
      </w:r>
    </w:p>
    <w:p w14:paraId="7140BD13" w14:textId="50613C57" w:rsidR="0043512C" w:rsidRDefault="00235399" w:rsidP="00154AC5">
      <w:pPr>
        <w:pStyle w:val="ListParagraph"/>
        <w:numPr>
          <w:ilvl w:val="0"/>
          <w:numId w:val="4"/>
        </w:numPr>
        <w:spacing w:line="360" w:lineRule="auto"/>
        <w:jc w:val="both"/>
        <w:rPr>
          <w:rFonts w:ascii="Book Antiqua" w:hAnsi="Book Antiqua" w:cs="Helvetica"/>
          <w:lang w:val="en-US"/>
        </w:rPr>
      </w:pPr>
      <w:r>
        <w:rPr>
          <w:rFonts w:ascii="Book Antiqua" w:hAnsi="Book Antiqua" w:cs="Helvetica"/>
          <w:lang w:val="en-US"/>
        </w:rPr>
        <w:t xml:space="preserve">According to these claims mothers are (and should be) </w:t>
      </w:r>
      <w:r w:rsidR="003633EC">
        <w:rPr>
          <w:rFonts w:ascii="Book Antiqua" w:hAnsi="Book Antiqua" w:cs="Helvetica"/>
          <w:lang w:val="en-US"/>
        </w:rPr>
        <w:t xml:space="preserve">absolutely available, cheerfully self-sacrificing, and find </w:t>
      </w:r>
      <w:r w:rsidR="003633EC">
        <w:rPr>
          <w:rFonts w:ascii="Book Antiqua" w:hAnsi="Book Antiqua" w:cs="Helvetica"/>
          <w:lang w:val="en-US"/>
        </w:rPr>
        <w:lastRenderedPageBreak/>
        <w:t>happiness in subsuming their needs to those of their offspring.</w:t>
      </w:r>
      <w:r w:rsidR="0043512C">
        <w:rPr>
          <w:rFonts w:ascii="Book Antiqua" w:hAnsi="Book Antiqua" w:cs="Helvetica"/>
          <w:lang w:val="en-US"/>
        </w:rPr>
        <w:t xml:space="preserve"> </w:t>
      </w:r>
    </w:p>
    <w:p w14:paraId="5BA263C2" w14:textId="77777777" w:rsidR="0043512C" w:rsidRDefault="0043512C" w:rsidP="00154AC5">
      <w:pPr>
        <w:spacing w:line="360" w:lineRule="auto"/>
        <w:jc w:val="both"/>
        <w:rPr>
          <w:rFonts w:ascii="Book Antiqua" w:hAnsi="Book Antiqua" w:cs="Helvetica"/>
          <w:lang w:val="en-US"/>
        </w:rPr>
      </w:pPr>
    </w:p>
    <w:p w14:paraId="36CB58FE" w14:textId="254B8D6B" w:rsidR="00E74D01" w:rsidRDefault="00235399" w:rsidP="00154AC5">
      <w:pPr>
        <w:spacing w:line="360" w:lineRule="auto"/>
        <w:jc w:val="both"/>
        <w:rPr>
          <w:rFonts w:ascii="Book Antiqua" w:hAnsi="Book Antiqua" w:cs="Helvetica"/>
          <w:lang w:val="en-US"/>
        </w:rPr>
      </w:pPr>
      <w:r>
        <w:rPr>
          <w:rFonts w:ascii="Book Antiqua" w:hAnsi="Book Antiqua" w:cs="Helvetica"/>
          <w:lang w:val="en-US"/>
        </w:rPr>
        <w:t>When I use the term ‘Model of Mother</w:t>
      </w:r>
      <w:r w:rsidR="00B66F62">
        <w:rPr>
          <w:rFonts w:ascii="Book Antiqua" w:hAnsi="Book Antiqua" w:cs="Helvetica"/>
          <w:lang w:val="en-US"/>
        </w:rPr>
        <w:t>hood</w:t>
      </w:r>
      <w:r w:rsidR="00154AC5">
        <w:rPr>
          <w:rFonts w:ascii="Book Antiqua" w:hAnsi="Book Antiqua" w:cs="Helvetica"/>
          <w:lang w:val="en-US"/>
        </w:rPr>
        <w:t xml:space="preserve">’, I have in mind a </w:t>
      </w:r>
      <w:r>
        <w:rPr>
          <w:rFonts w:ascii="Book Antiqua" w:hAnsi="Book Antiqua" w:cs="Helvetica"/>
          <w:lang w:val="en-US"/>
        </w:rPr>
        <w:t xml:space="preserve">phenomenon </w:t>
      </w:r>
      <w:r w:rsidR="00355834">
        <w:rPr>
          <w:rFonts w:ascii="Book Antiqua" w:hAnsi="Book Antiqua" w:cs="Helvetica"/>
          <w:lang w:val="en-US"/>
        </w:rPr>
        <w:t>that</w:t>
      </w:r>
      <w:r>
        <w:rPr>
          <w:rFonts w:ascii="Book Antiqua" w:hAnsi="Book Antiqua" w:cs="Helvetica"/>
          <w:lang w:val="en-US"/>
        </w:rPr>
        <w:t xml:space="preserve"> has the</w:t>
      </w:r>
      <w:r w:rsidR="00E74D01">
        <w:rPr>
          <w:rFonts w:ascii="Book Antiqua" w:hAnsi="Book Antiqua" w:cs="Helvetica"/>
          <w:lang w:val="en-US"/>
        </w:rPr>
        <w:t>se</w:t>
      </w:r>
      <w:r>
        <w:rPr>
          <w:rFonts w:ascii="Book Antiqua" w:hAnsi="Book Antiqua" w:cs="Helvetica"/>
          <w:lang w:val="en-US"/>
        </w:rPr>
        <w:t xml:space="preserve"> key features of Mullin’s Ideology of Motherhood.</w:t>
      </w:r>
      <w:r w:rsidR="00E74D01">
        <w:rPr>
          <w:rFonts w:ascii="Book Antiqua" w:hAnsi="Book Antiqua" w:cs="Helvetica"/>
          <w:lang w:val="en-US"/>
        </w:rPr>
        <w:t xml:space="preserve">  </w:t>
      </w:r>
    </w:p>
    <w:p w14:paraId="3A2A702F" w14:textId="748C97ED" w:rsidR="000B6959" w:rsidRPr="00DC360B" w:rsidRDefault="00E74D01" w:rsidP="00154AC5">
      <w:pPr>
        <w:spacing w:line="360" w:lineRule="auto"/>
        <w:jc w:val="both"/>
        <w:rPr>
          <w:rFonts w:ascii="Book Antiqua" w:hAnsi="Book Antiqua" w:cs="Helvetica"/>
          <w:lang w:val="en-US"/>
        </w:rPr>
      </w:pPr>
      <w:r>
        <w:rPr>
          <w:rFonts w:ascii="Book Antiqua" w:hAnsi="Book Antiqua" w:cs="Helvetica"/>
          <w:lang w:val="en-US"/>
        </w:rPr>
        <w:tab/>
        <w:t>Kukla’s Fetish Mother is one of a pair of imaginary mother figures, which together with its counterpart, the Unruly Mother, shapes the way that mothers</w:t>
      </w:r>
      <w:r w:rsidR="00DB4749">
        <w:rPr>
          <w:rFonts w:ascii="Book Antiqua" w:hAnsi="Book Antiqua" w:cs="Helvetica"/>
          <w:lang w:val="en-US"/>
        </w:rPr>
        <w:t>’</w:t>
      </w:r>
      <w:r>
        <w:rPr>
          <w:rFonts w:ascii="Book Antiqua" w:hAnsi="Book Antiqua" w:cs="Helvetica"/>
          <w:lang w:val="en-US"/>
        </w:rPr>
        <w:t xml:space="preserve"> bodies are </w:t>
      </w:r>
      <w:r w:rsidR="00CC1392">
        <w:rPr>
          <w:rFonts w:ascii="Book Antiqua" w:hAnsi="Book Antiqua" w:cs="Helvetica"/>
          <w:lang w:val="en-US"/>
        </w:rPr>
        <w:t xml:space="preserve">treated </w:t>
      </w:r>
      <w:r w:rsidR="00DB4749">
        <w:rPr>
          <w:rFonts w:ascii="Book Antiqua" w:hAnsi="Book Antiqua" w:cs="Helvetica"/>
          <w:lang w:val="en-US"/>
        </w:rPr>
        <w:t xml:space="preserve">in </w:t>
      </w:r>
      <w:r w:rsidR="00CC1392">
        <w:rPr>
          <w:rFonts w:ascii="Book Antiqua" w:hAnsi="Book Antiqua" w:cs="Helvetica"/>
          <w:lang w:val="en-US"/>
        </w:rPr>
        <w:t xml:space="preserve">contemporary </w:t>
      </w:r>
      <w:r w:rsidR="00DB4749">
        <w:rPr>
          <w:rFonts w:ascii="Book Antiqua" w:hAnsi="Book Antiqua" w:cs="Helvetica"/>
          <w:lang w:val="en-US"/>
        </w:rPr>
        <w:t>Europe and North America.</w:t>
      </w:r>
      <w:r w:rsidR="00DB4749">
        <w:rPr>
          <w:rStyle w:val="FootnoteReference"/>
          <w:rFonts w:ascii="Book Antiqua" w:hAnsi="Book Antiqua" w:cs="Helvetica"/>
          <w:lang w:val="en-US"/>
        </w:rPr>
        <w:footnoteReference w:id="10"/>
      </w:r>
      <w:r w:rsidR="00DB4749">
        <w:rPr>
          <w:rFonts w:ascii="Book Antiqua" w:hAnsi="Book Antiqua" w:cs="Helvetica"/>
          <w:lang w:val="en-US"/>
        </w:rPr>
        <w:t xml:space="preserve">  The Fetish Mother is a “well-ordered, ‘natural’ body enjoying perfect unity and reciprocity with its child” while the Unruly Mother is an “unruly, capricious, improperly and porously bounded body, easily corrupted and driven by cravings and passions.”</w:t>
      </w:r>
      <w:r w:rsidR="00DB4749">
        <w:rPr>
          <w:rStyle w:val="FootnoteReference"/>
          <w:rFonts w:ascii="Book Antiqua" w:hAnsi="Book Antiqua" w:cs="Helvetica"/>
          <w:lang w:val="en-US"/>
        </w:rPr>
        <w:footnoteReference w:id="11"/>
      </w:r>
      <w:r w:rsidR="00DB4749">
        <w:rPr>
          <w:rFonts w:ascii="Book Antiqua" w:hAnsi="Book Antiqua" w:cs="Helvetica"/>
          <w:lang w:val="en-US"/>
        </w:rPr>
        <w:t xml:space="preserve"> </w:t>
      </w:r>
      <w:r w:rsidR="00CC1392">
        <w:rPr>
          <w:rFonts w:ascii="Book Antiqua" w:hAnsi="Book Antiqua" w:cs="Helvetica"/>
          <w:lang w:val="en-US"/>
        </w:rPr>
        <w:t xml:space="preserve">As Kukla explains, </w:t>
      </w:r>
      <w:r w:rsidR="00DB4749">
        <w:rPr>
          <w:rFonts w:ascii="Book Antiqua" w:hAnsi="Book Antiqua" w:cs="Helvetica"/>
          <w:lang w:val="en-US"/>
        </w:rPr>
        <w:t>“</w:t>
      </w:r>
      <w:r>
        <w:rPr>
          <w:rFonts w:ascii="Book Antiqua" w:hAnsi="Book Antiqua" w:cs="Helvetica"/>
          <w:lang w:val="en-US"/>
        </w:rPr>
        <w:t>These two maternal bodies or figures are not, of course, literal bodies, but neither are they mere symbols or archetypes or myths.  Rather they are idealized, imaginary bodies through which we read, interpret, negotiate and judge mothers’ actual bodies (whether these are our own bodies or not).”</w:t>
      </w:r>
      <w:r>
        <w:rPr>
          <w:rStyle w:val="FootnoteReference"/>
          <w:rFonts w:ascii="Book Antiqua" w:hAnsi="Book Antiqua" w:cs="Helvetica"/>
          <w:lang w:val="en-US"/>
        </w:rPr>
        <w:footnoteReference w:id="12"/>
      </w:r>
      <w:r>
        <w:rPr>
          <w:rFonts w:ascii="Book Antiqua" w:hAnsi="Book Antiqua" w:cs="Helvetica"/>
          <w:lang w:val="en-US"/>
        </w:rPr>
        <w:t xml:space="preserve"> </w:t>
      </w:r>
      <w:r w:rsidR="00DE0DEA">
        <w:rPr>
          <w:rFonts w:ascii="Book Antiqua" w:hAnsi="Book Antiqua" w:cs="Helvetica"/>
          <w:lang w:val="en-US"/>
        </w:rPr>
        <w:t xml:space="preserve"> Like the Model of Motherhood, the Fetish Mother is both normative and descriptive, it “exists as a </w:t>
      </w:r>
      <w:r w:rsidR="00DE0DEA">
        <w:rPr>
          <w:rFonts w:ascii="Book Antiqua" w:hAnsi="Book Antiqua" w:cs="Helvetica"/>
          <w:i/>
          <w:lang w:val="en-US"/>
        </w:rPr>
        <w:t>guiding image</w:t>
      </w:r>
      <w:r w:rsidR="00DE0DEA">
        <w:rPr>
          <w:rFonts w:ascii="Book Antiqua" w:hAnsi="Book Antiqua" w:cs="Helvetica"/>
          <w:lang w:val="en-US"/>
        </w:rPr>
        <w:t xml:space="preserve"> of appropriate motherhood, which at the same time expresses the purported essence of ‘true’ maternality.”</w:t>
      </w:r>
      <w:r w:rsidR="00DE0DEA">
        <w:rPr>
          <w:rStyle w:val="FootnoteReference"/>
          <w:rFonts w:ascii="Book Antiqua" w:hAnsi="Book Antiqua" w:cs="Helvetica"/>
          <w:lang w:val="en-US"/>
        </w:rPr>
        <w:footnoteReference w:id="13"/>
      </w:r>
      <w:r w:rsidR="00DE0DEA">
        <w:rPr>
          <w:rFonts w:ascii="Book Antiqua" w:hAnsi="Book Antiqua" w:cs="Helvetica"/>
          <w:lang w:val="en-US"/>
        </w:rPr>
        <w:t xml:space="preserve">   </w:t>
      </w:r>
    </w:p>
    <w:p w14:paraId="21DFFF49" w14:textId="77777777" w:rsidR="00154AC5" w:rsidRDefault="0026144C" w:rsidP="00154AC5">
      <w:pPr>
        <w:spacing w:line="360" w:lineRule="auto"/>
        <w:ind w:firstLine="720"/>
        <w:jc w:val="both"/>
        <w:rPr>
          <w:rFonts w:ascii="Book Antiqua" w:hAnsi="Book Antiqua" w:cs="Helvetica"/>
        </w:rPr>
      </w:pPr>
      <w:r>
        <w:rPr>
          <w:rFonts w:ascii="Book Antiqua" w:hAnsi="Book Antiqua" w:cs="Helvetica"/>
        </w:rPr>
        <w:t xml:space="preserve">The </w:t>
      </w:r>
      <w:r w:rsidR="00235399">
        <w:rPr>
          <w:rFonts w:ascii="Book Antiqua" w:hAnsi="Book Antiqua" w:cs="Helvetica"/>
        </w:rPr>
        <w:t>Model of M</w:t>
      </w:r>
      <w:r>
        <w:rPr>
          <w:rFonts w:ascii="Book Antiqua" w:hAnsi="Book Antiqua" w:cs="Helvetica"/>
        </w:rPr>
        <w:t xml:space="preserve">otherhood tells us not just what ‘mothers’  (aka good mothers) do but what they feel and desire. </w:t>
      </w:r>
      <w:r w:rsidR="00D00A86">
        <w:rPr>
          <w:rFonts w:ascii="Book Antiqua" w:hAnsi="Book Antiqua" w:cs="Helvetica"/>
        </w:rPr>
        <w:t>Kukla</w:t>
      </w:r>
      <w:r w:rsidR="00943096" w:rsidRPr="00943096">
        <w:rPr>
          <w:rFonts w:ascii="Book Antiqua" w:hAnsi="Book Antiqua" w:cs="Helvetica"/>
        </w:rPr>
        <w:t xml:space="preserve"> discuss</w:t>
      </w:r>
      <w:r w:rsidR="003D0B42">
        <w:rPr>
          <w:rFonts w:ascii="Book Antiqua" w:hAnsi="Book Antiqua" w:cs="Helvetica"/>
        </w:rPr>
        <w:t xml:space="preserve">es </w:t>
      </w:r>
      <w:r w:rsidR="00943096" w:rsidRPr="00943096">
        <w:rPr>
          <w:rFonts w:ascii="Book Antiqua" w:hAnsi="Book Antiqua" w:cs="Helvetica"/>
        </w:rPr>
        <w:t>the way in which parenting guides offer “</w:t>
      </w:r>
      <w:r w:rsidR="00943096" w:rsidRPr="00943096">
        <w:rPr>
          <w:rFonts w:ascii="Book Antiqua" w:hAnsi="Book Antiqua" w:cs="Helvetica"/>
          <w:i/>
        </w:rPr>
        <w:t>predictions</w:t>
      </w:r>
      <w:r w:rsidR="00943096" w:rsidRPr="00943096">
        <w:rPr>
          <w:rFonts w:ascii="Book Antiqua" w:hAnsi="Book Antiqua" w:cs="Helvetica"/>
        </w:rPr>
        <w:t xml:space="preserve"> about what new mothers will ‘natura</w:t>
      </w:r>
      <w:r w:rsidR="005D55B4">
        <w:rPr>
          <w:rFonts w:ascii="Book Antiqua" w:hAnsi="Book Antiqua" w:cs="Helvetica"/>
        </w:rPr>
        <w:t>lly’ find t</w:t>
      </w:r>
      <w:r w:rsidR="00154AC5">
        <w:rPr>
          <w:rFonts w:ascii="Book Antiqua" w:hAnsi="Book Antiqua" w:cs="Helvetica"/>
        </w:rPr>
        <w:t>hemselves desiring.”  She notes:</w:t>
      </w:r>
    </w:p>
    <w:p w14:paraId="3DC6B0BC" w14:textId="77777777" w:rsidR="00154AC5" w:rsidRDefault="003D0B42" w:rsidP="00154AC5">
      <w:pPr>
        <w:spacing w:line="360" w:lineRule="auto"/>
        <w:ind w:firstLine="720"/>
        <w:jc w:val="both"/>
        <w:rPr>
          <w:rFonts w:ascii="Book Antiqua" w:hAnsi="Book Antiqua" w:cs="Helvetica"/>
        </w:rPr>
      </w:pPr>
      <w:r>
        <w:rPr>
          <w:rFonts w:ascii="Book Antiqua" w:hAnsi="Book Antiqua" w:cs="Helvetica"/>
        </w:rPr>
        <w:t xml:space="preserve">  </w:t>
      </w:r>
    </w:p>
    <w:p w14:paraId="7225FA44" w14:textId="5817922C" w:rsidR="00154AC5" w:rsidRPr="00154AC5" w:rsidRDefault="00943096" w:rsidP="00154AC5">
      <w:pPr>
        <w:spacing w:line="360" w:lineRule="auto"/>
        <w:ind w:left="567" w:right="468"/>
        <w:jc w:val="both"/>
        <w:rPr>
          <w:rFonts w:ascii="Book Antiqua" w:hAnsi="Book Antiqua" w:cs="Helvetica"/>
          <w:sz w:val="20"/>
          <w:szCs w:val="20"/>
        </w:rPr>
      </w:pPr>
      <w:r w:rsidRPr="00154AC5">
        <w:rPr>
          <w:rFonts w:ascii="Book Antiqua" w:hAnsi="Book Antiqua" w:cs="Helvetica"/>
          <w:sz w:val="20"/>
          <w:szCs w:val="20"/>
        </w:rPr>
        <w:t xml:space="preserve">La Leche League, in its guide, offers such predictions addressed to the mother in the second person, calling upon her to find herself reflected in them.  </w:t>
      </w:r>
      <w:r w:rsidR="003D0B42" w:rsidRPr="00154AC5">
        <w:rPr>
          <w:rFonts w:ascii="Book Antiqua" w:hAnsi="Book Antiqua" w:cs="Helvetica"/>
          <w:sz w:val="20"/>
          <w:szCs w:val="20"/>
        </w:rPr>
        <w:t>‘</w:t>
      </w:r>
      <w:r w:rsidR="00373A9E" w:rsidRPr="00154AC5">
        <w:rPr>
          <w:rFonts w:ascii="Book Antiqua" w:hAnsi="Book Antiqua" w:cs="Helvetica"/>
          <w:sz w:val="20"/>
          <w:szCs w:val="20"/>
        </w:rPr>
        <w:t xml:space="preserve">Along with </w:t>
      </w:r>
      <w:r w:rsidRPr="00154AC5">
        <w:rPr>
          <w:rFonts w:ascii="Book Antiqua" w:hAnsi="Book Antiqua" w:cs="Helvetica"/>
          <w:sz w:val="20"/>
          <w:szCs w:val="20"/>
        </w:rPr>
        <w:t>whatever else you are doing during the day, you will want to keep you</w:t>
      </w:r>
      <w:r w:rsidR="000352D7" w:rsidRPr="00154AC5">
        <w:rPr>
          <w:rFonts w:ascii="Book Antiqua" w:hAnsi="Book Antiqua" w:cs="Helvetica"/>
          <w:sz w:val="20"/>
          <w:szCs w:val="20"/>
        </w:rPr>
        <w:t>r</w:t>
      </w:r>
      <w:r w:rsidRPr="00154AC5">
        <w:rPr>
          <w:rFonts w:ascii="Book Antiqua" w:hAnsi="Book Antiqua" w:cs="Helvetica"/>
          <w:sz w:val="20"/>
          <w:szCs w:val="20"/>
        </w:rPr>
        <w:t xml:space="preserve"> baby close to you as a matter of course</w:t>
      </w:r>
      <w:r w:rsidR="00E20E39" w:rsidRPr="00154AC5">
        <w:rPr>
          <w:rFonts w:ascii="Book Antiqua" w:hAnsi="Book Antiqua" w:cs="Helvetica"/>
          <w:sz w:val="20"/>
          <w:szCs w:val="20"/>
        </w:rPr>
        <w:t>…</w:t>
      </w:r>
      <w:r w:rsidR="003D0B42" w:rsidRPr="00154AC5">
        <w:rPr>
          <w:rFonts w:ascii="Book Antiqua" w:hAnsi="Book Antiqua" w:cs="Helvetica"/>
          <w:sz w:val="20"/>
          <w:szCs w:val="20"/>
        </w:rPr>
        <w:t>’</w:t>
      </w:r>
      <w:r w:rsidRPr="00154AC5">
        <w:rPr>
          <w:rFonts w:ascii="Book Antiqua" w:hAnsi="Book Antiqua" w:cs="Helvetica"/>
          <w:sz w:val="20"/>
          <w:szCs w:val="20"/>
        </w:rPr>
        <w:t xml:space="preserve">And again, </w:t>
      </w:r>
      <w:r w:rsidR="003D0B42" w:rsidRPr="00154AC5">
        <w:rPr>
          <w:rFonts w:ascii="Book Antiqua" w:hAnsi="Book Antiqua" w:cs="Helvetica"/>
          <w:sz w:val="20"/>
          <w:szCs w:val="20"/>
        </w:rPr>
        <w:t>‘</w:t>
      </w:r>
      <w:r w:rsidRPr="00154AC5">
        <w:rPr>
          <w:rFonts w:ascii="Book Antiqua" w:hAnsi="Book Antiqua" w:cs="Helvetica"/>
          <w:sz w:val="20"/>
          <w:szCs w:val="20"/>
        </w:rPr>
        <w:t xml:space="preserve">You </w:t>
      </w:r>
      <w:r w:rsidRPr="00154AC5">
        <w:rPr>
          <w:rFonts w:ascii="Book Antiqua" w:hAnsi="Book Antiqua" w:cs="Helvetica"/>
          <w:sz w:val="20"/>
          <w:szCs w:val="20"/>
        </w:rPr>
        <w:lastRenderedPageBreak/>
        <w:t>won’t want to leave your baby any more than you have to because babies need their mother… A mother finds that when she does leave her baby for that long awaited ‘night out’ she worries so much about how the baby is getting on that she doesn’t really enjoy the occasion.</w:t>
      </w:r>
      <w:r w:rsidR="003D0B42" w:rsidRPr="00154AC5">
        <w:rPr>
          <w:rFonts w:ascii="Book Antiqua" w:hAnsi="Book Antiqua" w:cs="Helvetica"/>
          <w:sz w:val="20"/>
          <w:szCs w:val="20"/>
        </w:rPr>
        <w:t>’</w:t>
      </w:r>
      <w:r w:rsidR="0050725C">
        <w:rPr>
          <w:rStyle w:val="FootnoteReference"/>
          <w:rFonts w:ascii="Book Antiqua" w:hAnsi="Book Antiqua" w:cs="Helvetica"/>
          <w:sz w:val="20"/>
          <w:szCs w:val="20"/>
        </w:rPr>
        <w:footnoteReference w:id="14"/>
      </w:r>
      <w:r w:rsidRPr="00154AC5">
        <w:rPr>
          <w:rFonts w:ascii="Book Antiqua" w:hAnsi="Book Antiqua" w:cs="Helvetica"/>
          <w:sz w:val="20"/>
          <w:szCs w:val="20"/>
        </w:rPr>
        <w:t xml:space="preserve">  In these passages, expectant and new mothers are not told what would be good for the baby but rather what they will, of their own accord, ‘naturally’ feel and know once they are mothering… The rhetoric suggests that if ‘you’ find you </w:t>
      </w:r>
      <w:r w:rsidRPr="00154AC5">
        <w:rPr>
          <w:rFonts w:ascii="Book Antiqua" w:hAnsi="Book Antiqua" w:cs="Helvetica"/>
          <w:i/>
          <w:sz w:val="20"/>
          <w:szCs w:val="20"/>
        </w:rPr>
        <w:t>do</w:t>
      </w:r>
      <w:r w:rsidRPr="00154AC5">
        <w:rPr>
          <w:rFonts w:ascii="Book Antiqua" w:hAnsi="Book Antiqua" w:cs="Helvetica"/>
          <w:sz w:val="20"/>
          <w:szCs w:val="20"/>
        </w:rPr>
        <w:t xml:space="preserve"> enjoy your night out, the flaw is in your maternality not in their parenting suggestions.</w:t>
      </w:r>
      <w:r w:rsidRPr="00154AC5">
        <w:rPr>
          <w:rStyle w:val="FootnoteReference"/>
          <w:rFonts w:ascii="Book Antiqua" w:hAnsi="Book Antiqua" w:cs="Helvetica"/>
          <w:sz w:val="20"/>
          <w:szCs w:val="20"/>
        </w:rPr>
        <w:t xml:space="preserve"> </w:t>
      </w:r>
      <w:r w:rsidRPr="00154AC5">
        <w:rPr>
          <w:rStyle w:val="FootnoteReference"/>
          <w:rFonts w:ascii="Book Antiqua" w:hAnsi="Book Antiqua" w:cs="Helvetica"/>
          <w:sz w:val="20"/>
          <w:szCs w:val="20"/>
        </w:rPr>
        <w:footnoteReference w:id="15"/>
      </w:r>
      <w:r w:rsidR="00E9619B" w:rsidRPr="00154AC5">
        <w:rPr>
          <w:rFonts w:ascii="Book Antiqua" w:hAnsi="Book Antiqua" w:cs="Helvetica"/>
          <w:sz w:val="20"/>
          <w:szCs w:val="20"/>
        </w:rPr>
        <w:t xml:space="preserve"> </w:t>
      </w:r>
    </w:p>
    <w:p w14:paraId="0F08FF1B" w14:textId="77777777" w:rsidR="00154AC5" w:rsidRDefault="00154AC5" w:rsidP="00154AC5">
      <w:pPr>
        <w:spacing w:line="360" w:lineRule="auto"/>
        <w:ind w:firstLine="720"/>
        <w:jc w:val="both"/>
        <w:rPr>
          <w:rFonts w:ascii="Book Antiqua" w:hAnsi="Book Antiqua" w:cs="Helvetica"/>
        </w:rPr>
      </w:pPr>
    </w:p>
    <w:p w14:paraId="672F6CB3" w14:textId="77777777" w:rsidR="00154AC5" w:rsidRDefault="00E9619B" w:rsidP="00154AC5">
      <w:pPr>
        <w:spacing w:line="360" w:lineRule="auto"/>
        <w:ind w:firstLine="720"/>
        <w:jc w:val="both"/>
        <w:rPr>
          <w:rFonts w:ascii="Book Antiqua" w:hAnsi="Book Antiqua" w:cs="Helvetica"/>
        </w:rPr>
      </w:pPr>
      <w:r>
        <w:rPr>
          <w:rFonts w:ascii="Book Antiqua" w:hAnsi="Book Antiqua" w:cs="Helvetica"/>
        </w:rPr>
        <w:t>Kukla also notes the interesting restrictions on the desires appropriate</w:t>
      </w:r>
      <w:r w:rsidR="00AA12A8">
        <w:rPr>
          <w:rFonts w:ascii="Book Antiqua" w:hAnsi="Book Antiqua" w:cs="Helvetica"/>
        </w:rPr>
        <w:t xml:space="preserve"> for new mothers imposed by </w:t>
      </w:r>
      <w:r>
        <w:rPr>
          <w:rFonts w:ascii="Book Antiqua" w:hAnsi="Book Antiqua" w:cs="Helvetica"/>
        </w:rPr>
        <w:t>claim</w:t>
      </w:r>
      <w:r w:rsidR="00AA12A8">
        <w:rPr>
          <w:rFonts w:ascii="Book Antiqua" w:hAnsi="Book Antiqua" w:cs="Helvetica"/>
        </w:rPr>
        <w:t>s such as</w:t>
      </w:r>
      <w:r>
        <w:rPr>
          <w:rFonts w:ascii="Book Antiqua" w:hAnsi="Book Antiqua" w:cs="Helvetica"/>
        </w:rPr>
        <w:t xml:space="preserve">:  “You don’t have to be a stay-at-home with a breastfed baby. Baby can go right along with you </w:t>
      </w:r>
      <w:r w:rsidR="00AA12A8">
        <w:rPr>
          <w:rFonts w:ascii="Book Antiqua" w:hAnsi="Book Antiqua" w:cs="Helvetica"/>
        </w:rPr>
        <w:t>almost anywhere you want to go.”</w:t>
      </w:r>
      <w:r w:rsidR="00AA12A8">
        <w:rPr>
          <w:rStyle w:val="FootnoteReference"/>
          <w:rFonts w:ascii="Book Antiqua" w:hAnsi="Book Antiqua" w:cs="Helvetica"/>
        </w:rPr>
        <w:footnoteReference w:id="16"/>
      </w:r>
      <w:r w:rsidR="00AA12A8">
        <w:rPr>
          <w:rFonts w:ascii="Book Antiqua" w:hAnsi="Book Antiqua" w:cs="Helvetica"/>
        </w:rPr>
        <w:t xml:space="preserve">  As Kukla notes:  </w:t>
      </w:r>
    </w:p>
    <w:p w14:paraId="774B1BFD" w14:textId="77777777" w:rsidR="00154AC5" w:rsidRDefault="00154AC5" w:rsidP="00154AC5">
      <w:pPr>
        <w:spacing w:line="360" w:lineRule="auto"/>
        <w:ind w:firstLine="720"/>
        <w:jc w:val="both"/>
        <w:rPr>
          <w:rFonts w:ascii="Book Antiqua" w:hAnsi="Book Antiqua" w:cs="Helvetica"/>
        </w:rPr>
      </w:pPr>
    </w:p>
    <w:p w14:paraId="177DBB37" w14:textId="243DF350" w:rsidR="00154AC5" w:rsidRPr="00154AC5" w:rsidRDefault="00AA12A8" w:rsidP="00154AC5">
      <w:pPr>
        <w:spacing w:line="360" w:lineRule="auto"/>
        <w:ind w:left="567" w:right="468"/>
        <w:jc w:val="both"/>
        <w:rPr>
          <w:rFonts w:ascii="Book Antiqua" w:hAnsi="Book Antiqua" w:cs="Helvetica"/>
          <w:sz w:val="20"/>
          <w:szCs w:val="20"/>
        </w:rPr>
      </w:pPr>
      <w:r w:rsidRPr="00154AC5">
        <w:rPr>
          <w:rFonts w:ascii="Book Antiqua" w:hAnsi="Book Antiqua" w:cs="Helvetica"/>
          <w:sz w:val="20"/>
          <w:szCs w:val="20"/>
        </w:rPr>
        <w:t>Indeed, this guide like many others is full of examples of mothers satisfying their desires for mobility by taking their babies to shopping malls, parks, friends’ houses, and other gendered leisure spaces.  The rhetoric of the claim forecloses the possibilities of mothers even having real desires to go to a classical music concert, a research library, an academic talk, a board meeting, or any of many other spaces inappropriate for babies, in which various kinds of serious, perhaps identity-defining projects and passions might be pursued.  Such rhetoric casts mothers’ desires that conflict with proximity as inappropriate and unnatural.</w:t>
      </w:r>
      <w:r w:rsidRPr="00154AC5">
        <w:rPr>
          <w:rStyle w:val="FootnoteReference"/>
          <w:rFonts w:ascii="Book Antiqua" w:hAnsi="Book Antiqua" w:cs="Helvetica"/>
          <w:sz w:val="20"/>
          <w:szCs w:val="20"/>
        </w:rPr>
        <w:footnoteReference w:id="17"/>
      </w:r>
      <w:r w:rsidRPr="00154AC5">
        <w:rPr>
          <w:rFonts w:ascii="Book Antiqua" w:hAnsi="Book Antiqua" w:cs="Helvetica"/>
          <w:sz w:val="20"/>
          <w:szCs w:val="20"/>
        </w:rPr>
        <w:t xml:space="preserve">  </w:t>
      </w:r>
    </w:p>
    <w:p w14:paraId="77ABF9C8" w14:textId="77777777" w:rsidR="00154AC5" w:rsidRDefault="00154AC5" w:rsidP="00154AC5">
      <w:pPr>
        <w:spacing w:line="360" w:lineRule="auto"/>
        <w:ind w:firstLine="720"/>
        <w:jc w:val="both"/>
        <w:rPr>
          <w:rFonts w:ascii="Book Antiqua" w:hAnsi="Book Antiqua" w:cs="Helvetica"/>
        </w:rPr>
      </w:pPr>
    </w:p>
    <w:p w14:paraId="64B4382F" w14:textId="50272440" w:rsidR="00D34D97" w:rsidRDefault="007C06FD" w:rsidP="00154AC5">
      <w:pPr>
        <w:spacing w:line="360" w:lineRule="auto"/>
        <w:ind w:firstLine="720"/>
        <w:jc w:val="both"/>
        <w:rPr>
          <w:rFonts w:ascii="Book Antiqua" w:hAnsi="Book Antiqua" w:cs="Helvetica"/>
        </w:rPr>
      </w:pPr>
      <w:r>
        <w:rPr>
          <w:rFonts w:ascii="Book Antiqua" w:hAnsi="Book Antiqua" w:cs="Helvetica"/>
        </w:rPr>
        <w:t>M</w:t>
      </w:r>
      <w:r w:rsidR="00AA12A8">
        <w:rPr>
          <w:rFonts w:ascii="Book Antiqua" w:hAnsi="Book Antiqua" w:cs="Helvetica"/>
        </w:rPr>
        <w:t>any of the</w:t>
      </w:r>
      <w:r w:rsidR="00BC629A">
        <w:rPr>
          <w:rFonts w:ascii="Book Antiqua" w:hAnsi="Book Antiqua" w:cs="Helvetica"/>
        </w:rPr>
        <w:t xml:space="preserve"> spaces</w:t>
      </w:r>
      <w:r w:rsidR="00AA12A8">
        <w:rPr>
          <w:rFonts w:ascii="Book Antiqua" w:hAnsi="Book Antiqua" w:cs="Helvetica"/>
        </w:rPr>
        <w:t xml:space="preserve"> </w:t>
      </w:r>
      <w:r w:rsidR="005D55B4">
        <w:rPr>
          <w:rFonts w:ascii="Book Antiqua" w:hAnsi="Book Antiqua" w:cs="Helvetica"/>
        </w:rPr>
        <w:t>mentioned</w:t>
      </w:r>
      <w:r w:rsidR="00AA12A8">
        <w:rPr>
          <w:rFonts w:ascii="Book Antiqua" w:hAnsi="Book Antiqua" w:cs="Helvetica"/>
        </w:rPr>
        <w:t xml:space="preserve"> by Kukla are not – or should not be – </w:t>
      </w:r>
      <w:r w:rsidR="00BC629A">
        <w:rPr>
          <w:rFonts w:ascii="Book Antiqua" w:hAnsi="Book Antiqua" w:cs="Helvetica"/>
        </w:rPr>
        <w:t>truly “</w:t>
      </w:r>
      <w:r w:rsidR="00AA12A8">
        <w:rPr>
          <w:rFonts w:ascii="Book Antiqua" w:hAnsi="Book Antiqua" w:cs="Helvetica"/>
        </w:rPr>
        <w:t>inapprop</w:t>
      </w:r>
      <w:r w:rsidR="00BC629A">
        <w:rPr>
          <w:rFonts w:ascii="Book Antiqua" w:hAnsi="Book Antiqua" w:cs="Helvetica"/>
        </w:rPr>
        <w:t xml:space="preserve">riate for babies”.  Nonetheless, </w:t>
      </w:r>
      <w:r w:rsidR="00AA12A8">
        <w:rPr>
          <w:rFonts w:ascii="Book Antiqua" w:hAnsi="Book Antiqua" w:cs="Helvetica"/>
        </w:rPr>
        <w:t xml:space="preserve">given the choice of examples and the lack of discussion about </w:t>
      </w:r>
      <w:r w:rsidR="00BC629A">
        <w:rPr>
          <w:rFonts w:ascii="Book Antiqua" w:hAnsi="Book Antiqua" w:cs="Helvetica"/>
        </w:rPr>
        <w:t xml:space="preserve">the challenges of negotiating these kinds of places with </w:t>
      </w:r>
      <w:r w:rsidR="005D55B4">
        <w:rPr>
          <w:rFonts w:ascii="Book Antiqua" w:hAnsi="Book Antiqua" w:cs="Helvetica"/>
        </w:rPr>
        <w:t xml:space="preserve">a </w:t>
      </w:r>
      <w:r w:rsidR="00BC629A">
        <w:rPr>
          <w:rFonts w:ascii="Book Antiqua" w:hAnsi="Book Antiqua" w:cs="Helvetica"/>
        </w:rPr>
        <w:t>baby in tow</w:t>
      </w:r>
      <w:r w:rsidR="00AA12A8">
        <w:rPr>
          <w:rFonts w:ascii="Book Antiqua" w:hAnsi="Book Antiqua" w:cs="Helvetica"/>
        </w:rPr>
        <w:t xml:space="preserve">, </w:t>
      </w:r>
      <w:r w:rsidR="00BC629A">
        <w:rPr>
          <w:rFonts w:ascii="Book Antiqua" w:hAnsi="Book Antiqua" w:cs="Helvetica"/>
        </w:rPr>
        <w:t>Kukla is right about the implicit message.</w:t>
      </w:r>
    </w:p>
    <w:p w14:paraId="311B10C4" w14:textId="08A68EFC" w:rsidR="008925F2" w:rsidRDefault="00D34D97" w:rsidP="00154AC5">
      <w:pPr>
        <w:spacing w:line="360" w:lineRule="auto"/>
        <w:ind w:firstLine="720"/>
        <w:jc w:val="both"/>
        <w:rPr>
          <w:rFonts w:ascii="Book Antiqua" w:hAnsi="Book Antiqua" w:cs="Helvetica"/>
        </w:rPr>
      </w:pPr>
      <w:r>
        <w:rPr>
          <w:rFonts w:ascii="Book Antiqua" w:hAnsi="Book Antiqua" w:cs="Helvetica"/>
        </w:rPr>
        <w:lastRenderedPageBreak/>
        <w:t xml:space="preserve">The </w:t>
      </w:r>
      <w:r w:rsidR="003609B5">
        <w:rPr>
          <w:rFonts w:ascii="Book Antiqua" w:hAnsi="Book Antiqua" w:cs="Helvetica"/>
        </w:rPr>
        <w:t>Model of M</w:t>
      </w:r>
      <w:r>
        <w:rPr>
          <w:rFonts w:ascii="Book Antiqua" w:hAnsi="Book Antiqua" w:cs="Helvetica"/>
        </w:rPr>
        <w:t>otherhood is a picture of what mothers, or good mothers, ‘naturally’ are, do and feel which is either explicitly or implicitly present in much contemporary representation and discussion of mothers and motherhood.  It is used as a standard by which mother’s behaviour is judged.  It is used to justify moral demands made on mothers, either directly or indirectly through influencing our application of other morally relevant concept</w:t>
      </w:r>
      <w:r w:rsidR="00E20E39">
        <w:rPr>
          <w:rFonts w:ascii="Book Antiqua" w:hAnsi="Book Antiqua" w:cs="Helvetica"/>
        </w:rPr>
        <w:t>s</w:t>
      </w:r>
      <w:r>
        <w:rPr>
          <w:rFonts w:ascii="Book Antiqua" w:hAnsi="Book Antiqua" w:cs="Helvetica"/>
        </w:rPr>
        <w:t xml:space="preserve"> </w:t>
      </w:r>
      <w:r w:rsidR="00E20E39">
        <w:rPr>
          <w:rFonts w:ascii="Book Antiqua" w:hAnsi="Book Antiqua" w:cs="Helvetica"/>
        </w:rPr>
        <w:t>to mother</w:t>
      </w:r>
      <w:r>
        <w:rPr>
          <w:rFonts w:ascii="Book Antiqua" w:hAnsi="Book Antiqua" w:cs="Helvetica"/>
        </w:rPr>
        <w:t>s</w:t>
      </w:r>
      <w:r w:rsidR="00E20E39">
        <w:rPr>
          <w:rFonts w:ascii="Book Antiqua" w:hAnsi="Book Antiqua" w:cs="Helvetica"/>
        </w:rPr>
        <w:t>’</w:t>
      </w:r>
      <w:r>
        <w:rPr>
          <w:rFonts w:ascii="Book Antiqua" w:hAnsi="Book Antiqua" w:cs="Helvetica"/>
        </w:rPr>
        <w:t xml:space="preserve"> behaviour.  (As Elselijn Kingma</w:t>
      </w:r>
      <w:r w:rsidR="00CC1392">
        <w:rPr>
          <w:rFonts w:ascii="Book Antiqua" w:hAnsi="Book Antiqua" w:cs="Helvetica"/>
        </w:rPr>
        <w:t xml:space="preserve"> and I</w:t>
      </w:r>
      <w:r>
        <w:rPr>
          <w:rFonts w:ascii="Book Antiqua" w:hAnsi="Book Antiqua" w:cs="Helvetica"/>
        </w:rPr>
        <w:t xml:space="preserve"> argue elsewhere, our classifications of </w:t>
      </w:r>
      <w:r w:rsidR="00E20E39">
        <w:rPr>
          <w:rFonts w:ascii="Book Antiqua" w:hAnsi="Book Antiqua" w:cs="Helvetica"/>
        </w:rPr>
        <w:t>pregnant women</w:t>
      </w:r>
      <w:r>
        <w:rPr>
          <w:rFonts w:ascii="Book Antiqua" w:hAnsi="Book Antiqua" w:cs="Helvetica"/>
        </w:rPr>
        <w:t>’s behaviour as doing harm rather than merely allowing har</w:t>
      </w:r>
      <w:r w:rsidR="005D55B4">
        <w:rPr>
          <w:rFonts w:ascii="Book Antiqua" w:hAnsi="Book Antiqua" w:cs="Helvetica"/>
        </w:rPr>
        <w:t>m</w:t>
      </w:r>
      <w:r w:rsidR="007C06FD">
        <w:rPr>
          <w:rFonts w:ascii="Book Antiqua" w:hAnsi="Book Antiqua" w:cs="Helvetica"/>
        </w:rPr>
        <w:t xml:space="preserve"> or failing to benefit</w:t>
      </w:r>
      <w:r w:rsidR="005D55B4">
        <w:rPr>
          <w:rFonts w:ascii="Book Antiqua" w:hAnsi="Book Antiqua" w:cs="Helvetica"/>
        </w:rPr>
        <w:t xml:space="preserve"> often implicitly appeal to </w:t>
      </w:r>
      <w:r>
        <w:rPr>
          <w:rFonts w:ascii="Book Antiqua" w:hAnsi="Book Antiqua" w:cs="Helvetica"/>
        </w:rPr>
        <w:t>expectations about mothers</w:t>
      </w:r>
      <w:r w:rsidR="00E20E39">
        <w:rPr>
          <w:rFonts w:ascii="Book Antiqua" w:hAnsi="Book Antiqua" w:cs="Helvetica"/>
        </w:rPr>
        <w:t>’</w:t>
      </w:r>
      <w:r>
        <w:rPr>
          <w:rFonts w:ascii="Book Antiqua" w:hAnsi="Book Antiqua" w:cs="Helvetica"/>
        </w:rPr>
        <w:t xml:space="preserve"> behaviour.  Because we assume that ‘mothers do whate</w:t>
      </w:r>
      <w:r w:rsidR="005D55B4">
        <w:rPr>
          <w:rFonts w:ascii="Book Antiqua" w:hAnsi="Book Antiqua" w:cs="Helvetica"/>
        </w:rPr>
        <w:t xml:space="preserve">ver is best for their babies’ behaviour </w:t>
      </w:r>
      <w:r>
        <w:rPr>
          <w:rFonts w:ascii="Book Antiqua" w:hAnsi="Book Antiqua" w:cs="Helvetica"/>
        </w:rPr>
        <w:t xml:space="preserve">is </w:t>
      </w:r>
      <w:r w:rsidR="00CC1392">
        <w:rPr>
          <w:rFonts w:ascii="Book Antiqua" w:hAnsi="Book Antiqua" w:cs="Helvetica"/>
        </w:rPr>
        <w:t xml:space="preserve">often </w:t>
      </w:r>
      <w:r>
        <w:rPr>
          <w:rFonts w:ascii="Book Antiqua" w:hAnsi="Book Antiqua" w:cs="Helvetica"/>
        </w:rPr>
        <w:t>taken as doing harm</w:t>
      </w:r>
      <w:r w:rsidR="00CC1392">
        <w:rPr>
          <w:rFonts w:ascii="Book Antiqua" w:hAnsi="Book Antiqua" w:cs="Helvetica"/>
        </w:rPr>
        <w:t xml:space="preserve"> simply because it is non-optimal</w:t>
      </w:r>
      <w:r>
        <w:rPr>
          <w:rFonts w:ascii="Book Antiqua" w:hAnsi="Book Antiqua" w:cs="Helvetica"/>
        </w:rPr>
        <w:t>.</w:t>
      </w:r>
      <w:r>
        <w:rPr>
          <w:rStyle w:val="FootnoteReference"/>
          <w:rFonts w:ascii="Book Antiqua" w:hAnsi="Book Antiqua" w:cs="Helvetica"/>
        </w:rPr>
        <w:footnoteReference w:id="18"/>
      </w:r>
      <w:r>
        <w:rPr>
          <w:rFonts w:ascii="Book Antiqua" w:hAnsi="Book Antiqua" w:cs="Helvetica"/>
        </w:rPr>
        <w:t xml:space="preserve">) </w:t>
      </w:r>
      <w:r w:rsidR="003026E7">
        <w:rPr>
          <w:rFonts w:ascii="Book Antiqua" w:hAnsi="Book Antiqua" w:cs="Helvetica"/>
        </w:rPr>
        <w:t>It encourages accep</w:t>
      </w:r>
      <w:r w:rsidR="00CC1392">
        <w:rPr>
          <w:rFonts w:ascii="Book Antiqua" w:hAnsi="Book Antiqua" w:cs="Helvetica"/>
        </w:rPr>
        <w:t xml:space="preserve">tance of unnecessary </w:t>
      </w:r>
      <w:r w:rsidR="003026E7">
        <w:rPr>
          <w:rFonts w:ascii="Book Antiqua" w:hAnsi="Book Antiqua" w:cs="Helvetica"/>
        </w:rPr>
        <w:t>hardship for pregnant woman and mothers, because the assumption is that this is what mother</w:t>
      </w:r>
      <w:r w:rsidR="005D55B4">
        <w:rPr>
          <w:rFonts w:ascii="Book Antiqua" w:hAnsi="Book Antiqua" w:cs="Helvetica"/>
        </w:rPr>
        <w:t>hood naturally involves</w:t>
      </w:r>
      <w:r w:rsidR="003026E7">
        <w:rPr>
          <w:rFonts w:ascii="Book Antiqua" w:hAnsi="Book Antiqua" w:cs="Helvetica"/>
        </w:rPr>
        <w:t>.  Moreover, in elevating motherhood as the single most important influence on children’s lives, it encourages social policy that focuses on changing individual maternal behaviour, normally through sanctions, rather than on looking at changes that could be made in the wider environment.</w:t>
      </w:r>
    </w:p>
    <w:p w14:paraId="4E0AB62F" w14:textId="78EEA49B" w:rsidR="00173EBB" w:rsidRDefault="007C06FD" w:rsidP="00154AC5">
      <w:pPr>
        <w:spacing w:line="360" w:lineRule="auto"/>
        <w:ind w:firstLine="720"/>
        <w:jc w:val="both"/>
        <w:rPr>
          <w:rFonts w:ascii="Book Antiqua" w:hAnsi="Book Antiqua" w:cs="Helvetica"/>
        </w:rPr>
      </w:pPr>
      <w:r>
        <w:rPr>
          <w:rFonts w:ascii="Book Antiqua" w:hAnsi="Book Antiqua" w:cs="Helvetica"/>
        </w:rPr>
        <w:t>N</w:t>
      </w:r>
      <w:r w:rsidR="00173EBB">
        <w:rPr>
          <w:rFonts w:ascii="Book Antiqua" w:hAnsi="Book Antiqua" w:cs="Helvetica"/>
        </w:rPr>
        <w:t>ot all representatio</w:t>
      </w:r>
      <w:r w:rsidR="003609B5">
        <w:rPr>
          <w:rFonts w:ascii="Book Antiqua" w:hAnsi="Book Antiqua" w:cs="Helvetica"/>
        </w:rPr>
        <w:t>ns of motherhood conform to the Model of Motherhood</w:t>
      </w:r>
      <w:r w:rsidR="00173EBB">
        <w:rPr>
          <w:rFonts w:ascii="Book Antiqua" w:hAnsi="Book Antiqua" w:cs="Helvetica"/>
        </w:rPr>
        <w:t xml:space="preserve">, nor is it implicitly or explicitly assumed by all discussions of maternal behaviour.  </w:t>
      </w:r>
      <w:r>
        <w:rPr>
          <w:rFonts w:ascii="Book Antiqua" w:hAnsi="Book Antiqua" w:cs="Helvetica"/>
        </w:rPr>
        <w:t>T</w:t>
      </w:r>
      <w:r w:rsidR="00173EBB">
        <w:rPr>
          <w:rFonts w:ascii="Book Antiqua" w:hAnsi="Book Antiqua" w:cs="Helvetica"/>
        </w:rPr>
        <w:t xml:space="preserve">he </w:t>
      </w:r>
      <w:r w:rsidR="003609B5">
        <w:rPr>
          <w:rFonts w:ascii="Book Antiqua" w:hAnsi="Book Antiqua" w:cs="Helvetica"/>
        </w:rPr>
        <w:t>Model of M</w:t>
      </w:r>
      <w:r w:rsidR="00173EBB">
        <w:rPr>
          <w:rFonts w:ascii="Book Antiqua" w:hAnsi="Book Antiqua" w:cs="Helvetica"/>
        </w:rPr>
        <w:t xml:space="preserve">otherhood is </w:t>
      </w:r>
      <w:r>
        <w:rPr>
          <w:rFonts w:ascii="Book Antiqua" w:hAnsi="Book Antiqua" w:cs="Helvetica"/>
        </w:rPr>
        <w:t xml:space="preserve">not </w:t>
      </w:r>
      <w:r w:rsidR="00173EBB">
        <w:rPr>
          <w:rFonts w:ascii="Book Antiqua" w:hAnsi="Book Antiqua" w:cs="Helvetica"/>
        </w:rPr>
        <w:t xml:space="preserve">universally accepted.  Instead, it is a </w:t>
      </w:r>
      <w:r w:rsidR="00B250FB">
        <w:rPr>
          <w:rFonts w:ascii="Book Antiqua" w:hAnsi="Book Antiqua" w:cs="Helvetica"/>
        </w:rPr>
        <w:t>significant thread in our thinking about motherhood.  Many representations of motherhood, both contemporary and historical, can be seen to implicitly or explicitly assume this view of what mothers will naturally be, do and feel.  Many discussions of maternal behaviour can be fruitfully interpreted as influenced by these assumptions.</w:t>
      </w:r>
      <w:r w:rsidR="009420FC">
        <w:rPr>
          <w:rStyle w:val="FootnoteReference"/>
          <w:rFonts w:ascii="Book Antiqua" w:hAnsi="Book Antiqua" w:cs="Helvetica"/>
        </w:rPr>
        <w:footnoteReference w:id="19"/>
      </w:r>
      <w:r w:rsidR="00B250FB">
        <w:rPr>
          <w:rFonts w:ascii="Book Antiqua" w:hAnsi="Book Antiqua" w:cs="Helvetica"/>
        </w:rPr>
        <w:t xml:space="preserve">  </w:t>
      </w:r>
    </w:p>
    <w:p w14:paraId="251B38A3" w14:textId="77777777" w:rsidR="001B79F9" w:rsidRDefault="001B79F9" w:rsidP="00154AC5">
      <w:pPr>
        <w:spacing w:line="360" w:lineRule="auto"/>
        <w:jc w:val="both"/>
        <w:rPr>
          <w:rFonts w:ascii="Book Antiqua" w:hAnsi="Book Antiqua" w:cs="Helvetica"/>
          <w:b/>
        </w:rPr>
      </w:pPr>
    </w:p>
    <w:p w14:paraId="5DE754A6" w14:textId="4FF0CA36" w:rsidR="00A0703C" w:rsidRDefault="00731EFF" w:rsidP="00154AC5">
      <w:pPr>
        <w:spacing w:line="360" w:lineRule="auto"/>
        <w:jc w:val="both"/>
        <w:rPr>
          <w:rFonts w:ascii="Book Antiqua" w:hAnsi="Book Antiqua" w:cs="Helvetica"/>
        </w:rPr>
      </w:pPr>
      <w:r>
        <w:rPr>
          <w:rFonts w:ascii="Book Antiqua" w:hAnsi="Book Antiqua" w:cs="Helvetica"/>
          <w:b/>
        </w:rPr>
        <w:t>Objectification</w:t>
      </w:r>
    </w:p>
    <w:p w14:paraId="51F6A112" w14:textId="1DAC4CA4" w:rsidR="009C7A0F" w:rsidRDefault="002B4B79" w:rsidP="00154AC5">
      <w:pPr>
        <w:spacing w:line="360" w:lineRule="auto"/>
        <w:ind w:firstLine="360"/>
        <w:jc w:val="both"/>
        <w:rPr>
          <w:rFonts w:ascii="Book Antiqua" w:hAnsi="Book Antiqua" w:cs="Helvetica"/>
          <w:lang w:val="en-US"/>
        </w:rPr>
      </w:pPr>
      <w:r>
        <w:rPr>
          <w:rFonts w:ascii="Book Antiqua" w:hAnsi="Book Antiqua" w:cs="Helvetica"/>
          <w:lang w:val="en-US"/>
        </w:rPr>
        <w:t>According to Nussbaum, “in all cases of objectification, what is at issue is a question of treating one thing as another.  One is treating as an object what is really not an object, what is, in fact, a human being.”</w:t>
      </w:r>
      <w:r>
        <w:rPr>
          <w:rStyle w:val="FootnoteReference"/>
          <w:rFonts w:ascii="Book Antiqua" w:hAnsi="Book Antiqua" w:cs="Helvetica"/>
          <w:lang w:val="en-US"/>
        </w:rPr>
        <w:footnoteReference w:id="20"/>
      </w:r>
      <w:r>
        <w:rPr>
          <w:rFonts w:ascii="Book Antiqua" w:hAnsi="Book Antiqua" w:cs="Helvetica"/>
          <w:lang w:val="en-US"/>
        </w:rPr>
        <w:t xml:space="preserve">  Nussbaum picks out seven features of treating </w:t>
      </w:r>
      <w:r w:rsidR="000D2FBF">
        <w:rPr>
          <w:rFonts w:ascii="Book Antiqua" w:hAnsi="Book Antiqua" w:cs="Helvetica"/>
          <w:lang w:val="en-US"/>
        </w:rPr>
        <w:t xml:space="preserve">something </w:t>
      </w:r>
      <w:r>
        <w:rPr>
          <w:rFonts w:ascii="Book Antiqua" w:hAnsi="Book Antiqua" w:cs="Helvetica"/>
          <w:lang w:val="en-US"/>
        </w:rPr>
        <w:t>as a thing.</w:t>
      </w:r>
      <w:r w:rsidR="000D2FBF">
        <w:rPr>
          <w:rStyle w:val="FootnoteReference"/>
          <w:rFonts w:ascii="Book Antiqua" w:hAnsi="Book Antiqua" w:cs="Helvetica"/>
          <w:lang w:val="en-US"/>
        </w:rPr>
        <w:footnoteReference w:id="21"/>
      </w:r>
      <w:r>
        <w:rPr>
          <w:rFonts w:ascii="Book Antiqua" w:hAnsi="Book Antiqua" w:cs="Helvetica"/>
          <w:lang w:val="en-US"/>
        </w:rPr>
        <w:t xml:space="preserve">  She then suggests that we understand ‘objectification’ as  </w:t>
      </w:r>
      <w:r w:rsidRPr="002B4B79">
        <w:rPr>
          <w:rFonts w:ascii="Book Antiqua" w:hAnsi="Book Antiqua" w:cs="Helvetica"/>
          <w:lang w:val="en-US"/>
        </w:rPr>
        <w:t>“a relatively loose cluster-term, for whose application we sometimes treat any one of these features as sufficient, though more often a plurality of features is present when the term is applied</w:t>
      </w:r>
      <w:r w:rsidR="00E84577">
        <w:rPr>
          <w:rFonts w:ascii="Book Antiqua" w:hAnsi="Book Antiqua" w:cs="Helvetica"/>
          <w:lang w:val="en-US"/>
        </w:rPr>
        <w:t>.</w:t>
      </w:r>
      <w:r w:rsidRPr="002B4B79">
        <w:rPr>
          <w:rFonts w:ascii="Book Antiqua" w:hAnsi="Book Antiqua" w:cs="Helvetica"/>
          <w:lang w:val="en-US"/>
        </w:rPr>
        <w:t>”</w:t>
      </w:r>
      <w:r>
        <w:rPr>
          <w:rStyle w:val="FootnoteReference"/>
          <w:rFonts w:ascii="Book Antiqua" w:hAnsi="Book Antiqua" w:cs="Helvetica"/>
          <w:lang w:val="en-US"/>
        </w:rPr>
        <w:footnoteReference w:id="22"/>
      </w:r>
      <w:r w:rsidR="000D2FBF">
        <w:rPr>
          <w:rFonts w:ascii="Book Antiqua" w:hAnsi="Book Antiqua" w:cs="Helvetica"/>
          <w:lang w:val="en-US"/>
        </w:rPr>
        <w:t xml:space="preserve">  Nussbaum’s seven features of treating something as an object are:</w:t>
      </w:r>
    </w:p>
    <w:p w14:paraId="74961138" w14:textId="624305C3"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t>instrumentality</w:t>
      </w:r>
      <w:r w:rsidRPr="000D2FBF">
        <w:rPr>
          <w:rFonts w:ascii="Book Antiqua" w:hAnsi="Book Antiqua" w:cs="Helvetica"/>
          <w:lang w:val="en-US"/>
        </w:rPr>
        <w:t xml:space="preserve">: the </w:t>
      </w:r>
      <w:r>
        <w:rPr>
          <w:rFonts w:ascii="Book Antiqua" w:hAnsi="Book Antiqua" w:cs="Helvetica"/>
          <w:lang w:val="en-US"/>
        </w:rPr>
        <w:t xml:space="preserve">objectifier treats the object as a tool of his or her </w:t>
      </w:r>
      <w:r w:rsidRPr="000D2FBF">
        <w:rPr>
          <w:rFonts w:ascii="Book Antiqua" w:hAnsi="Book Antiqua" w:cs="Helvetica"/>
          <w:lang w:val="en-US"/>
        </w:rPr>
        <w:t>purposes;</w:t>
      </w:r>
    </w:p>
    <w:p w14:paraId="3C1F8110" w14:textId="1603A086"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t>denial of autonomy</w:t>
      </w:r>
      <w:r w:rsidRPr="000D2FBF">
        <w:rPr>
          <w:rFonts w:ascii="Book Antiqua" w:hAnsi="Book Antiqua" w:cs="Helvetica"/>
          <w:lang w:val="en-US"/>
        </w:rPr>
        <w:t xml:space="preserve">: </w:t>
      </w:r>
      <w:r>
        <w:rPr>
          <w:rFonts w:ascii="Book Antiqua" w:hAnsi="Book Antiqua" w:cs="Helvetica"/>
          <w:lang w:val="en-US"/>
        </w:rPr>
        <w:t xml:space="preserve">the objectifier treats the object as </w:t>
      </w:r>
      <w:r w:rsidRPr="000D2FBF">
        <w:rPr>
          <w:rFonts w:ascii="Book Antiqua" w:hAnsi="Book Antiqua" w:cs="Helvetica"/>
          <w:lang w:val="en-US"/>
        </w:rPr>
        <w:t>lacking in autonomy and self-determination;</w:t>
      </w:r>
    </w:p>
    <w:p w14:paraId="1FA7160F" w14:textId="10712782"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t>inertness</w:t>
      </w:r>
      <w:r w:rsidRPr="000D2FBF">
        <w:rPr>
          <w:rFonts w:ascii="Book Antiqua" w:hAnsi="Book Antiqua" w:cs="Helvetica"/>
          <w:lang w:val="en-US"/>
        </w:rPr>
        <w:t xml:space="preserve">: the </w:t>
      </w:r>
      <w:r w:rsidR="003B2C3D">
        <w:rPr>
          <w:rFonts w:ascii="Book Antiqua" w:hAnsi="Book Antiqua" w:cs="Helvetica"/>
          <w:lang w:val="en-US"/>
        </w:rPr>
        <w:t>objectifier treats the object</w:t>
      </w:r>
      <w:r w:rsidRPr="000D2FBF">
        <w:rPr>
          <w:rFonts w:ascii="Book Antiqua" w:hAnsi="Book Antiqua" w:cs="Helvetica"/>
          <w:lang w:val="en-US"/>
        </w:rPr>
        <w:t xml:space="preserve"> as lacking in agency, and perhaps also in activity;</w:t>
      </w:r>
    </w:p>
    <w:p w14:paraId="68060FB8" w14:textId="69A4BFFA"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t>fungibility</w:t>
      </w:r>
      <w:r w:rsidRPr="000D2FBF">
        <w:rPr>
          <w:rFonts w:ascii="Book Antiqua" w:hAnsi="Book Antiqua" w:cs="Helvetica"/>
          <w:lang w:val="en-US"/>
        </w:rPr>
        <w:t xml:space="preserve">: </w:t>
      </w:r>
      <w:r w:rsidR="00630A81">
        <w:rPr>
          <w:rFonts w:ascii="Book Antiqua" w:hAnsi="Book Antiqua" w:cs="Helvetica"/>
          <w:lang w:val="en-US"/>
        </w:rPr>
        <w:t>the objectifier treats the object as</w:t>
      </w:r>
      <w:r w:rsidR="00630A81" w:rsidRPr="000D2FBF">
        <w:rPr>
          <w:rFonts w:ascii="Book Antiqua" w:hAnsi="Book Antiqua" w:cs="Helvetica"/>
          <w:lang w:val="en-US"/>
        </w:rPr>
        <w:t xml:space="preserve"> </w:t>
      </w:r>
      <w:r w:rsidRPr="000D2FBF">
        <w:rPr>
          <w:rFonts w:ascii="Book Antiqua" w:hAnsi="Book Antiqua" w:cs="Helvetica"/>
          <w:lang w:val="en-US"/>
        </w:rPr>
        <w:t xml:space="preserve">interchangeable </w:t>
      </w:r>
      <w:r w:rsidR="00630A81">
        <w:rPr>
          <w:rFonts w:ascii="Book Antiqua" w:hAnsi="Book Antiqua" w:cs="Helvetica"/>
          <w:lang w:val="en-US"/>
        </w:rPr>
        <w:t xml:space="preserve">(a) </w:t>
      </w:r>
      <w:r w:rsidRPr="000D2FBF">
        <w:rPr>
          <w:rFonts w:ascii="Book Antiqua" w:hAnsi="Book Antiqua" w:cs="Helvetica"/>
          <w:lang w:val="en-US"/>
        </w:rPr>
        <w:t>with other objects</w:t>
      </w:r>
      <w:r w:rsidR="00630A81">
        <w:rPr>
          <w:rFonts w:ascii="Book Antiqua" w:hAnsi="Book Antiqua" w:cs="Helvetica"/>
          <w:lang w:val="en-US"/>
        </w:rPr>
        <w:t xml:space="preserve"> of the same type and/or (b) with objects of other types</w:t>
      </w:r>
      <w:r w:rsidRPr="000D2FBF">
        <w:rPr>
          <w:rFonts w:ascii="Book Antiqua" w:hAnsi="Book Antiqua" w:cs="Helvetica"/>
          <w:lang w:val="en-US"/>
        </w:rPr>
        <w:t>;</w:t>
      </w:r>
    </w:p>
    <w:p w14:paraId="4B95F09E" w14:textId="640EA098"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lastRenderedPageBreak/>
        <w:t>violability</w:t>
      </w:r>
      <w:r w:rsidRPr="000D2FBF">
        <w:rPr>
          <w:rFonts w:ascii="Book Antiqua" w:hAnsi="Book Antiqua" w:cs="Helvetica"/>
          <w:lang w:val="en-US"/>
        </w:rPr>
        <w:t xml:space="preserve">: </w:t>
      </w:r>
      <w:r w:rsidR="00630A81">
        <w:rPr>
          <w:rFonts w:ascii="Book Antiqua" w:hAnsi="Book Antiqua" w:cs="Helvetica"/>
          <w:lang w:val="en-US"/>
        </w:rPr>
        <w:t>the objectifier treats the object as</w:t>
      </w:r>
      <w:r w:rsidR="00630A81" w:rsidRPr="000D2FBF">
        <w:rPr>
          <w:rFonts w:ascii="Book Antiqua" w:hAnsi="Book Antiqua" w:cs="Helvetica"/>
          <w:lang w:val="en-US"/>
        </w:rPr>
        <w:t xml:space="preserve"> </w:t>
      </w:r>
      <w:r w:rsidRPr="000D2FBF">
        <w:rPr>
          <w:rFonts w:ascii="Book Antiqua" w:hAnsi="Book Antiqua" w:cs="Helvetica"/>
          <w:lang w:val="en-US"/>
        </w:rPr>
        <w:t>lacking in boundary-integrity</w:t>
      </w:r>
      <w:r w:rsidR="00630A81">
        <w:rPr>
          <w:rFonts w:ascii="Book Antiqua" w:hAnsi="Book Antiqua" w:cs="Helvetica"/>
          <w:lang w:val="en-US"/>
        </w:rPr>
        <w:t>, as something that it is permissible to break up, smash, break into</w:t>
      </w:r>
      <w:r w:rsidRPr="000D2FBF">
        <w:rPr>
          <w:rFonts w:ascii="Book Antiqua" w:hAnsi="Book Antiqua" w:cs="Helvetica"/>
          <w:lang w:val="en-US"/>
        </w:rPr>
        <w:t>;</w:t>
      </w:r>
    </w:p>
    <w:p w14:paraId="523CB105" w14:textId="2AE331B0"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t>ownership</w:t>
      </w:r>
      <w:r w:rsidRPr="000D2FBF">
        <w:rPr>
          <w:rFonts w:ascii="Book Antiqua" w:hAnsi="Book Antiqua" w:cs="Helvetica"/>
          <w:lang w:val="en-US"/>
        </w:rPr>
        <w:t xml:space="preserve">: </w:t>
      </w:r>
      <w:r w:rsidR="00630A81">
        <w:rPr>
          <w:rFonts w:ascii="Book Antiqua" w:hAnsi="Book Antiqua" w:cs="Helvetica"/>
          <w:lang w:val="en-US"/>
        </w:rPr>
        <w:t>the objectifier treats the object as</w:t>
      </w:r>
      <w:r w:rsidR="00630A81" w:rsidRPr="000D2FBF">
        <w:rPr>
          <w:rFonts w:ascii="Book Antiqua" w:hAnsi="Book Antiqua" w:cs="Helvetica"/>
          <w:lang w:val="en-US"/>
        </w:rPr>
        <w:t xml:space="preserve"> </w:t>
      </w:r>
      <w:r w:rsidRPr="000D2FBF">
        <w:rPr>
          <w:rFonts w:ascii="Book Antiqua" w:hAnsi="Book Antiqua" w:cs="Helvetica"/>
          <w:lang w:val="en-US"/>
        </w:rPr>
        <w:t>some</w:t>
      </w:r>
      <w:r w:rsidR="00630A81">
        <w:rPr>
          <w:rFonts w:ascii="Book Antiqua" w:hAnsi="Book Antiqua" w:cs="Helvetica"/>
          <w:lang w:val="en-US"/>
        </w:rPr>
        <w:t>thing that is owned by another, can be bought or sold, etc.</w:t>
      </w:r>
      <w:r w:rsidRPr="000D2FBF">
        <w:rPr>
          <w:rFonts w:ascii="Book Antiqua" w:hAnsi="Book Antiqua" w:cs="Helvetica"/>
          <w:lang w:val="en-US"/>
        </w:rPr>
        <w:t>;</w:t>
      </w:r>
    </w:p>
    <w:p w14:paraId="7D5FDB90" w14:textId="73913C5B" w:rsidR="000D2FBF" w:rsidRPr="000D2FBF" w:rsidRDefault="000D2FBF" w:rsidP="00154AC5">
      <w:pPr>
        <w:numPr>
          <w:ilvl w:val="0"/>
          <w:numId w:val="1"/>
        </w:numPr>
        <w:spacing w:line="360" w:lineRule="auto"/>
        <w:jc w:val="both"/>
        <w:rPr>
          <w:rFonts w:ascii="Book Antiqua" w:hAnsi="Book Antiqua" w:cs="Helvetica"/>
          <w:lang w:val="en-US"/>
        </w:rPr>
      </w:pPr>
      <w:r w:rsidRPr="000D2FBF">
        <w:rPr>
          <w:rFonts w:ascii="Book Antiqua" w:hAnsi="Book Antiqua" w:cs="Helvetica"/>
          <w:i/>
          <w:iCs/>
          <w:lang w:val="en-US"/>
        </w:rPr>
        <w:t>denial of subjectivity</w:t>
      </w:r>
      <w:r w:rsidRPr="000D2FBF">
        <w:rPr>
          <w:rFonts w:ascii="Book Antiqua" w:hAnsi="Book Antiqua" w:cs="Helvetica"/>
          <w:lang w:val="en-US"/>
        </w:rPr>
        <w:t xml:space="preserve">: </w:t>
      </w:r>
      <w:r w:rsidR="00630A81">
        <w:rPr>
          <w:rFonts w:ascii="Book Antiqua" w:hAnsi="Book Antiqua" w:cs="Helvetica"/>
          <w:lang w:val="en-US"/>
        </w:rPr>
        <w:t xml:space="preserve">the objectifier treats the object </w:t>
      </w:r>
      <w:r w:rsidRPr="000D2FBF">
        <w:rPr>
          <w:rFonts w:ascii="Book Antiqua" w:hAnsi="Book Antiqua" w:cs="Helvetica"/>
          <w:lang w:val="en-US"/>
        </w:rPr>
        <w:t>as something whose experiences and feelings (if any) need not be taken into account.</w:t>
      </w:r>
      <w:r>
        <w:rPr>
          <w:rStyle w:val="FootnoteReference"/>
          <w:rFonts w:ascii="Book Antiqua" w:hAnsi="Book Antiqua" w:cs="Helvetica"/>
          <w:lang w:val="en-US"/>
        </w:rPr>
        <w:footnoteReference w:id="23"/>
      </w:r>
    </w:p>
    <w:p w14:paraId="53BE4A4B" w14:textId="77777777" w:rsidR="000D2FBF" w:rsidRDefault="000D2FBF" w:rsidP="00154AC5">
      <w:pPr>
        <w:spacing w:line="360" w:lineRule="auto"/>
        <w:jc w:val="both"/>
        <w:rPr>
          <w:rFonts w:ascii="Book Antiqua" w:hAnsi="Book Antiqua" w:cs="Helvetica"/>
          <w:lang w:val="en-US"/>
        </w:rPr>
      </w:pPr>
    </w:p>
    <w:p w14:paraId="25C55FD4" w14:textId="0A5BF8E1" w:rsidR="00630A81" w:rsidRDefault="003240FB" w:rsidP="00154AC5">
      <w:pPr>
        <w:spacing w:line="360" w:lineRule="auto"/>
        <w:jc w:val="both"/>
        <w:rPr>
          <w:rFonts w:ascii="Book Antiqua" w:hAnsi="Book Antiqua" w:cs="Helvetica"/>
          <w:lang w:val="en-US"/>
        </w:rPr>
      </w:pPr>
      <w:r>
        <w:rPr>
          <w:rFonts w:ascii="Book Antiqua" w:hAnsi="Book Antiqua" w:cs="Helvetica"/>
          <w:lang w:val="en-US"/>
        </w:rPr>
        <w:t xml:space="preserve">Rae Langton adds three further features to Nussbaum’s account of objectification: </w:t>
      </w:r>
    </w:p>
    <w:p w14:paraId="271DF3E2" w14:textId="3FDC9BCE" w:rsidR="003240FB" w:rsidRPr="003240FB" w:rsidRDefault="003240FB" w:rsidP="00154AC5">
      <w:pPr>
        <w:numPr>
          <w:ilvl w:val="0"/>
          <w:numId w:val="1"/>
        </w:numPr>
        <w:spacing w:line="360" w:lineRule="auto"/>
        <w:jc w:val="both"/>
        <w:rPr>
          <w:rFonts w:ascii="Book Antiqua" w:hAnsi="Book Antiqua" w:cs="Helvetica"/>
          <w:lang w:val="en-US"/>
        </w:rPr>
      </w:pPr>
      <w:r w:rsidRPr="003240FB">
        <w:rPr>
          <w:rFonts w:ascii="Book Antiqua" w:hAnsi="Book Antiqua" w:cs="Helvetica"/>
          <w:i/>
          <w:iCs/>
          <w:lang w:val="en-US"/>
        </w:rPr>
        <w:t>reduction to body</w:t>
      </w:r>
      <w:r w:rsidRPr="003240FB">
        <w:rPr>
          <w:rFonts w:ascii="Book Antiqua" w:hAnsi="Book Antiqua" w:cs="Helvetica"/>
          <w:lang w:val="en-US"/>
        </w:rPr>
        <w:t xml:space="preserve">: </w:t>
      </w:r>
      <w:r w:rsidR="00B84810">
        <w:rPr>
          <w:rFonts w:ascii="Book Antiqua" w:hAnsi="Book Antiqua" w:cs="Helvetica"/>
          <w:lang w:val="en-US"/>
        </w:rPr>
        <w:t>one treats [the object]</w:t>
      </w:r>
      <w:r w:rsidRPr="003240FB">
        <w:rPr>
          <w:rFonts w:ascii="Book Antiqua" w:hAnsi="Book Antiqua" w:cs="Helvetica"/>
          <w:lang w:val="en-US"/>
        </w:rPr>
        <w:t xml:space="preserve"> as identified w</w:t>
      </w:r>
      <w:r w:rsidR="00B84810">
        <w:rPr>
          <w:rFonts w:ascii="Book Antiqua" w:hAnsi="Book Antiqua" w:cs="Helvetica"/>
          <w:lang w:val="en-US"/>
        </w:rPr>
        <w:t>ith its</w:t>
      </w:r>
      <w:r w:rsidRPr="003240FB">
        <w:rPr>
          <w:rFonts w:ascii="Book Antiqua" w:hAnsi="Book Antiqua" w:cs="Helvetica"/>
          <w:lang w:val="en-US"/>
        </w:rPr>
        <w:t xml:space="preserve"> body, or body parts;</w:t>
      </w:r>
    </w:p>
    <w:p w14:paraId="4321E863" w14:textId="479460B4" w:rsidR="003240FB" w:rsidRPr="003240FB" w:rsidRDefault="003240FB" w:rsidP="00154AC5">
      <w:pPr>
        <w:numPr>
          <w:ilvl w:val="0"/>
          <w:numId w:val="1"/>
        </w:numPr>
        <w:spacing w:line="360" w:lineRule="auto"/>
        <w:jc w:val="both"/>
        <w:rPr>
          <w:rFonts w:ascii="Book Antiqua" w:hAnsi="Book Antiqua" w:cs="Helvetica"/>
          <w:lang w:val="en-US"/>
        </w:rPr>
      </w:pPr>
      <w:r w:rsidRPr="003240FB">
        <w:rPr>
          <w:rFonts w:ascii="Book Antiqua" w:hAnsi="Book Antiqua" w:cs="Helvetica"/>
          <w:i/>
          <w:iCs/>
          <w:lang w:val="en-US"/>
        </w:rPr>
        <w:t>reduction to appearance</w:t>
      </w:r>
      <w:r w:rsidR="00B84810">
        <w:rPr>
          <w:rFonts w:ascii="Book Antiqua" w:hAnsi="Book Antiqua" w:cs="Helvetica"/>
          <w:lang w:val="en-US"/>
        </w:rPr>
        <w:t>: one treats [the object]</w:t>
      </w:r>
      <w:r w:rsidR="00B84810" w:rsidRPr="003240FB">
        <w:rPr>
          <w:rFonts w:ascii="Book Antiqua" w:hAnsi="Book Antiqua" w:cs="Helvetica"/>
          <w:lang w:val="en-US"/>
        </w:rPr>
        <w:t xml:space="preserve"> </w:t>
      </w:r>
      <w:r w:rsidRPr="003240FB">
        <w:rPr>
          <w:rFonts w:ascii="Book Antiqua" w:hAnsi="Book Antiqua" w:cs="Helvetica"/>
          <w:lang w:val="en-US"/>
        </w:rPr>
        <w:t xml:space="preserve">primarily in terms of how </w:t>
      </w:r>
      <w:r w:rsidR="00B84810">
        <w:rPr>
          <w:rFonts w:ascii="Book Antiqua" w:hAnsi="Book Antiqua" w:cs="Helvetica"/>
          <w:lang w:val="en-US"/>
        </w:rPr>
        <w:t>it</w:t>
      </w:r>
      <w:r w:rsidRPr="003240FB">
        <w:rPr>
          <w:rFonts w:ascii="Book Antiqua" w:hAnsi="Book Antiqua" w:cs="Helvetica"/>
          <w:lang w:val="en-US"/>
        </w:rPr>
        <w:t xml:space="preserve"> look</w:t>
      </w:r>
      <w:r w:rsidR="00B84810">
        <w:rPr>
          <w:rFonts w:ascii="Book Antiqua" w:hAnsi="Book Antiqua" w:cs="Helvetica"/>
          <w:lang w:val="en-US"/>
        </w:rPr>
        <w:t>s</w:t>
      </w:r>
      <w:r w:rsidRPr="003240FB">
        <w:rPr>
          <w:rFonts w:ascii="Book Antiqua" w:hAnsi="Book Antiqua" w:cs="Helvetica"/>
          <w:lang w:val="en-US"/>
        </w:rPr>
        <w:t xml:space="preserve">, or how </w:t>
      </w:r>
      <w:r w:rsidR="00B84810">
        <w:rPr>
          <w:rFonts w:ascii="Book Antiqua" w:hAnsi="Book Antiqua" w:cs="Helvetica"/>
          <w:lang w:val="en-US"/>
        </w:rPr>
        <w:t>it</w:t>
      </w:r>
      <w:r w:rsidRPr="003240FB">
        <w:rPr>
          <w:rFonts w:ascii="Book Antiqua" w:hAnsi="Book Antiqua" w:cs="Helvetica"/>
          <w:lang w:val="en-US"/>
        </w:rPr>
        <w:t xml:space="preserve"> appear to the senses;</w:t>
      </w:r>
    </w:p>
    <w:p w14:paraId="06DCFC27" w14:textId="6F41CA17" w:rsidR="003240FB" w:rsidRDefault="003240FB" w:rsidP="00154AC5">
      <w:pPr>
        <w:pStyle w:val="ListParagraph"/>
        <w:numPr>
          <w:ilvl w:val="0"/>
          <w:numId w:val="1"/>
        </w:numPr>
        <w:spacing w:line="360" w:lineRule="auto"/>
        <w:jc w:val="both"/>
        <w:rPr>
          <w:rFonts w:ascii="Book Antiqua" w:hAnsi="Book Antiqua" w:cs="Helvetica"/>
          <w:lang w:val="en-US"/>
        </w:rPr>
      </w:pPr>
      <w:r w:rsidRPr="003240FB">
        <w:rPr>
          <w:rFonts w:ascii="Book Antiqua" w:hAnsi="Book Antiqua" w:cs="Helvetica"/>
          <w:i/>
          <w:iCs/>
          <w:lang w:val="en-US"/>
        </w:rPr>
        <w:t>silencing</w:t>
      </w:r>
      <w:r w:rsidRPr="003240FB">
        <w:rPr>
          <w:rFonts w:ascii="Book Antiqua" w:hAnsi="Book Antiqua" w:cs="Helvetica"/>
          <w:lang w:val="en-US"/>
        </w:rPr>
        <w:t xml:space="preserve">: </w:t>
      </w:r>
      <w:r w:rsidR="00B84810">
        <w:rPr>
          <w:rFonts w:ascii="Book Antiqua" w:hAnsi="Book Antiqua" w:cs="Helvetica"/>
          <w:lang w:val="en-US"/>
        </w:rPr>
        <w:t>one treats [the object]</w:t>
      </w:r>
      <w:r w:rsidR="00B84810" w:rsidRPr="003240FB">
        <w:rPr>
          <w:rFonts w:ascii="Book Antiqua" w:hAnsi="Book Antiqua" w:cs="Helvetica"/>
          <w:lang w:val="en-US"/>
        </w:rPr>
        <w:t xml:space="preserve"> </w:t>
      </w:r>
      <w:r w:rsidRPr="003240FB">
        <w:rPr>
          <w:rFonts w:ascii="Book Antiqua" w:hAnsi="Book Antiqua" w:cs="Helvetica"/>
          <w:lang w:val="en-US"/>
        </w:rPr>
        <w:t>as silent, lacking the capacity to speak.</w:t>
      </w:r>
      <w:r>
        <w:rPr>
          <w:rStyle w:val="FootnoteReference"/>
          <w:rFonts w:ascii="Book Antiqua" w:hAnsi="Book Antiqua" w:cs="Helvetica"/>
          <w:lang w:val="en-US"/>
        </w:rPr>
        <w:footnoteReference w:id="24"/>
      </w:r>
    </w:p>
    <w:p w14:paraId="2D663AA6" w14:textId="77777777" w:rsidR="003240FB" w:rsidRDefault="003240FB" w:rsidP="00154AC5">
      <w:pPr>
        <w:spacing w:line="360" w:lineRule="auto"/>
        <w:jc w:val="both"/>
        <w:rPr>
          <w:rFonts w:ascii="Book Antiqua" w:hAnsi="Book Antiqua" w:cs="Helvetica"/>
          <w:lang w:val="en-US"/>
        </w:rPr>
      </w:pPr>
    </w:p>
    <w:p w14:paraId="05173692" w14:textId="4B191113" w:rsidR="008906A2" w:rsidRDefault="00B84810" w:rsidP="00154AC5">
      <w:pPr>
        <w:spacing w:line="360" w:lineRule="auto"/>
        <w:jc w:val="both"/>
        <w:rPr>
          <w:rFonts w:ascii="Book Antiqua" w:hAnsi="Book Antiqua" w:cs="Helvetica"/>
          <w:lang w:val="en-US"/>
        </w:rPr>
      </w:pPr>
      <w:r>
        <w:rPr>
          <w:rFonts w:ascii="Book Antiqua" w:hAnsi="Book Antiqua" w:cs="Helvetica"/>
          <w:lang w:val="en-US"/>
        </w:rPr>
        <w:t>Langton also adds to Nussbaum’s account by paying greater attention to the different ways in which we can treat someone or something as lacking autonomy: “failing to attribute it, violating it, surrendering it, demanding that another surrender it, destroying it, stifling it.”</w:t>
      </w:r>
      <w:r>
        <w:rPr>
          <w:rStyle w:val="FootnoteReference"/>
          <w:rFonts w:ascii="Book Antiqua" w:hAnsi="Book Antiqua" w:cs="Helvetica"/>
          <w:lang w:val="en-US"/>
        </w:rPr>
        <w:footnoteReference w:id="25"/>
      </w:r>
      <w:r>
        <w:rPr>
          <w:rFonts w:ascii="Book Antiqua" w:hAnsi="Book Antiqua" w:cs="Helvetica"/>
          <w:lang w:val="en-US"/>
        </w:rPr>
        <w:t xml:space="preserve"> </w:t>
      </w:r>
    </w:p>
    <w:p w14:paraId="49F2D5C2" w14:textId="053DAFCA" w:rsidR="00B84810" w:rsidRPr="003240FB" w:rsidRDefault="00B84810" w:rsidP="00154AC5">
      <w:pPr>
        <w:spacing w:line="360" w:lineRule="auto"/>
        <w:ind w:firstLine="720"/>
        <w:jc w:val="both"/>
        <w:rPr>
          <w:rFonts w:ascii="Book Antiqua" w:hAnsi="Book Antiqua" w:cs="Helvetica"/>
          <w:lang w:val="en-US"/>
        </w:rPr>
      </w:pPr>
      <w:r>
        <w:rPr>
          <w:rFonts w:ascii="Book Antiqua" w:hAnsi="Book Antiqua" w:cs="Helvetica"/>
          <w:lang w:val="en-US"/>
        </w:rPr>
        <w:t>As Langton notes, “This variation</w:t>
      </w:r>
      <w:r w:rsidR="001B17EB">
        <w:rPr>
          <w:rFonts w:ascii="Book Antiqua" w:hAnsi="Book Antiqua" w:cs="Helvetica"/>
          <w:lang w:val="en-US"/>
        </w:rPr>
        <w:t xml:space="preserve"> [in ways of denying autonomy]</w:t>
      </w:r>
      <w:r>
        <w:rPr>
          <w:rFonts w:ascii="Book Antiqua" w:hAnsi="Book Antiqua" w:cs="Helvetica"/>
          <w:lang w:val="en-US"/>
        </w:rPr>
        <w:t xml:space="preserve"> allows for the possibility of treatment that </w:t>
      </w:r>
      <w:r w:rsidR="00AC5FFD">
        <w:rPr>
          <w:rFonts w:ascii="Book Antiqua" w:hAnsi="Book Antiqua" w:cs="Helvetica"/>
          <w:lang w:val="en-US"/>
        </w:rPr>
        <w:t>denies autonomy in one way, while affirming it in another.”</w:t>
      </w:r>
      <w:r w:rsidR="00AC5FFD">
        <w:rPr>
          <w:rStyle w:val="FootnoteReference"/>
          <w:rFonts w:ascii="Book Antiqua" w:hAnsi="Book Antiqua" w:cs="Helvetica"/>
          <w:lang w:val="en-US"/>
        </w:rPr>
        <w:footnoteReference w:id="26"/>
      </w:r>
      <w:r w:rsidR="00AC5FFD">
        <w:rPr>
          <w:rFonts w:ascii="Book Antiqua" w:hAnsi="Book Antiqua" w:cs="Helvetica"/>
          <w:lang w:val="en-US"/>
        </w:rPr>
        <w:t xml:space="preserve">  Indeed, Langton shows that in some cases the denial of autonomy can be accomplished through affirmation of autonomy. </w:t>
      </w:r>
      <w:r w:rsidR="008906A2">
        <w:rPr>
          <w:rFonts w:ascii="Book Antiqua" w:hAnsi="Book Antiqua" w:cs="Helvetica"/>
          <w:lang w:val="en-US"/>
        </w:rPr>
        <w:t xml:space="preserve">For example, in the pornographic film </w:t>
      </w:r>
      <w:r w:rsidR="008906A2">
        <w:rPr>
          <w:rFonts w:ascii="Book Antiqua" w:hAnsi="Book Antiqua" w:cs="Helvetica"/>
          <w:i/>
          <w:lang w:val="en-US"/>
        </w:rPr>
        <w:t>Deep Throat</w:t>
      </w:r>
      <w:r w:rsidR="008906A2">
        <w:rPr>
          <w:rFonts w:ascii="Book Antiqua" w:hAnsi="Book Antiqua" w:cs="Helvetica"/>
          <w:lang w:val="en-US"/>
        </w:rPr>
        <w:t xml:space="preserve">, Linda Lovelace is portrayed as “Liberated Woman in her most extreme form, taking life and sex on her own terms.”  Langton argues that this </w:t>
      </w:r>
      <w:r w:rsidR="008906A2">
        <w:rPr>
          <w:rFonts w:ascii="Book Antiqua" w:hAnsi="Book Antiqua" w:cs="Helvetica"/>
          <w:lang w:val="en-US"/>
        </w:rPr>
        <w:lastRenderedPageBreak/>
        <w:t xml:space="preserve">attribution of autonomy serves autonomy violation, both of Linda Lovelace herself and of woman in general.  </w:t>
      </w:r>
      <w:r w:rsidR="00605C39">
        <w:rPr>
          <w:rFonts w:ascii="Book Antiqua" w:hAnsi="Book Antiqua" w:cs="Helvetica"/>
          <w:lang w:val="en-US"/>
        </w:rPr>
        <w:t>Lovelace</w:t>
      </w:r>
      <w:r w:rsidR="008906A2">
        <w:rPr>
          <w:rFonts w:ascii="Book Antiqua" w:hAnsi="Book Antiqua" w:cs="Helvetica"/>
          <w:lang w:val="en-US"/>
        </w:rPr>
        <w:t xml:space="preserve"> was forced to </w:t>
      </w:r>
      <w:r w:rsidR="00605C39">
        <w:rPr>
          <w:rFonts w:ascii="Book Antiqua" w:hAnsi="Book Antiqua" w:cs="Helvetica"/>
          <w:lang w:val="en-US"/>
        </w:rPr>
        <w:t>play her role – the role of a woman freely choosing throat sex – using violence, rape and death threats and later forced to claim that this role was freely chosen.</w:t>
      </w:r>
      <w:r w:rsidR="00605C39">
        <w:rPr>
          <w:rStyle w:val="FootnoteReference"/>
          <w:rFonts w:ascii="Book Antiqua" w:hAnsi="Book Antiqua" w:cs="Helvetica"/>
          <w:lang w:val="en-US"/>
        </w:rPr>
        <w:footnoteReference w:id="27"/>
      </w:r>
      <w:r w:rsidR="00605C39">
        <w:rPr>
          <w:rFonts w:ascii="Book Antiqua" w:hAnsi="Book Antiqua" w:cs="Helvetica"/>
          <w:lang w:val="en-US"/>
        </w:rPr>
        <w:t xml:space="preserve"> In addition, as Langton points out the film purports to reflect the autonomous choices of not just Lovelace but all women: “Linda is not just </w:t>
      </w:r>
      <w:r w:rsidR="00605C39">
        <w:rPr>
          <w:rFonts w:ascii="Book Antiqua" w:hAnsi="Book Antiqua" w:cs="Helvetica"/>
          <w:i/>
          <w:lang w:val="en-US"/>
        </w:rPr>
        <w:t xml:space="preserve">a </w:t>
      </w:r>
      <w:r w:rsidR="00605C39">
        <w:rPr>
          <w:rFonts w:ascii="Book Antiqua" w:hAnsi="Book Antiqua" w:cs="Helvetica"/>
          <w:lang w:val="en-US"/>
        </w:rPr>
        <w:t xml:space="preserve">woman but </w:t>
      </w:r>
      <w:r w:rsidR="00605C39">
        <w:rPr>
          <w:rFonts w:ascii="Book Antiqua" w:hAnsi="Book Antiqua" w:cs="Helvetica"/>
          <w:i/>
          <w:lang w:val="en-US"/>
        </w:rPr>
        <w:t>woman</w:t>
      </w:r>
      <w:r w:rsidR="00605C39">
        <w:rPr>
          <w:rFonts w:ascii="Book Antiqua" w:hAnsi="Book Antiqua" w:cs="Helvetica"/>
          <w:lang w:val="en-US"/>
        </w:rPr>
        <w:t>.”  “In affirming women’s autonomy one way, and identifying that</w:t>
      </w:r>
      <w:r w:rsidR="00E84577">
        <w:rPr>
          <w:rFonts w:ascii="Book Antiqua" w:hAnsi="Book Antiqua" w:cs="Helvetica"/>
          <w:lang w:val="en-US"/>
        </w:rPr>
        <w:t xml:space="preserve"> autonomy with sexual freedom, </w:t>
      </w:r>
      <w:r w:rsidR="00E84577" w:rsidRPr="00E84577">
        <w:rPr>
          <w:rFonts w:ascii="Book Antiqua" w:hAnsi="Book Antiqua" w:cs="Helvetica"/>
          <w:i/>
          <w:lang w:val="en-US"/>
        </w:rPr>
        <w:t>Deep T</w:t>
      </w:r>
      <w:r w:rsidR="00605C39" w:rsidRPr="00E84577">
        <w:rPr>
          <w:rFonts w:ascii="Book Antiqua" w:hAnsi="Book Antiqua" w:cs="Helvetica"/>
          <w:i/>
          <w:lang w:val="en-US"/>
        </w:rPr>
        <w:t>hroat</w:t>
      </w:r>
      <w:r w:rsidR="00605C39">
        <w:rPr>
          <w:rFonts w:ascii="Book Antiqua" w:hAnsi="Book Antiqua" w:cs="Helvetica"/>
          <w:lang w:val="en-US"/>
        </w:rPr>
        <w:t xml:space="preserve"> sty</w:t>
      </w:r>
      <w:r w:rsidR="00E84577">
        <w:rPr>
          <w:rFonts w:ascii="Book Antiqua" w:hAnsi="Book Antiqua" w:cs="Helvetica"/>
          <w:lang w:val="en-US"/>
        </w:rPr>
        <w:t>l</w:t>
      </w:r>
      <w:r w:rsidR="00605C39">
        <w:rPr>
          <w:rFonts w:ascii="Book Antiqua" w:hAnsi="Book Antiqua" w:cs="Helvetica"/>
          <w:lang w:val="en-US"/>
        </w:rPr>
        <w:t>e</w:t>
      </w:r>
      <w:r w:rsidR="00E84577">
        <w:rPr>
          <w:rFonts w:ascii="Book Antiqua" w:hAnsi="Book Antiqua" w:cs="Helvetica"/>
          <w:lang w:val="en-US"/>
        </w:rPr>
        <w:t>, it legitimated autonomy-denial in a different way, when the pornographer’s image of women’s choices was used to thwart real women’s choices.”</w:t>
      </w:r>
      <w:r w:rsidR="00E84577">
        <w:rPr>
          <w:rStyle w:val="FootnoteReference"/>
          <w:rFonts w:ascii="Book Antiqua" w:hAnsi="Book Antiqua" w:cs="Helvetica"/>
          <w:lang w:val="en-US"/>
        </w:rPr>
        <w:footnoteReference w:id="28"/>
      </w:r>
      <w:r w:rsidR="00605C39">
        <w:rPr>
          <w:rFonts w:ascii="Book Antiqua" w:hAnsi="Book Antiqua" w:cs="Helvetica"/>
          <w:lang w:val="en-US"/>
        </w:rPr>
        <w:t xml:space="preserve"> </w:t>
      </w:r>
      <w:r w:rsidR="00E84577">
        <w:rPr>
          <w:rFonts w:ascii="Book Antiqua" w:hAnsi="Book Antiqua" w:cs="Helvetica"/>
          <w:lang w:val="en-US"/>
        </w:rPr>
        <w:t xml:space="preserve"> I will later argue that a similar kind of structure can be seen in the </w:t>
      </w:r>
      <w:r w:rsidR="00337D39">
        <w:rPr>
          <w:rFonts w:ascii="Book Antiqua" w:hAnsi="Book Antiqua" w:cs="Helvetica"/>
          <w:lang w:val="en-US"/>
        </w:rPr>
        <w:t>Model of M</w:t>
      </w:r>
      <w:r w:rsidR="00E84577">
        <w:rPr>
          <w:rFonts w:ascii="Book Antiqua" w:hAnsi="Book Antiqua" w:cs="Helvetica"/>
          <w:lang w:val="en-US"/>
        </w:rPr>
        <w:t>otherhood.</w:t>
      </w:r>
      <w:r w:rsidR="00605C39">
        <w:rPr>
          <w:rFonts w:ascii="Book Antiqua" w:hAnsi="Book Antiqua" w:cs="Helvetica"/>
          <w:lang w:val="en-US"/>
        </w:rPr>
        <w:t xml:space="preserve">   </w:t>
      </w:r>
    </w:p>
    <w:p w14:paraId="7D8E0361" w14:textId="77777777" w:rsidR="00BF7D0E" w:rsidRDefault="00BF7D0E" w:rsidP="00154AC5">
      <w:pPr>
        <w:spacing w:line="360" w:lineRule="auto"/>
        <w:jc w:val="both"/>
        <w:rPr>
          <w:rFonts w:ascii="Book Antiqua" w:hAnsi="Book Antiqua" w:cs="Helvetica"/>
          <w:lang w:val="en-US"/>
        </w:rPr>
      </w:pPr>
    </w:p>
    <w:p w14:paraId="0E785E41" w14:textId="7CCD51E5" w:rsidR="00E84577" w:rsidRDefault="00E84577" w:rsidP="00154AC5">
      <w:pPr>
        <w:spacing w:line="360" w:lineRule="auto"/>
        <w:jc w:val="both"/>
        <w:rPr>
          <w:rFonts w:ascii="Book Antiqua" w:hAnsi="Book Antiqua" w:cs="Helvetica"/>
          <w:b/>
          <w:lang w:val="en-US"/>
        </w:rPr>
      </w:pPr>
      <w:r>
        <w:rPr>
          <w:rFonts w:ascii="Book Antiqua" w:hAnsi="Book Antiqua" w:cs="Helvetica"/>
          <w:b/>
          <w:lang w:val="en-US"/>
        </w:rPr>
        <w:t xml:space="preserve">Objectification and the </w:t>
      </w:r>
      <w:r w:rsidR="00550B44">
        <w:rPr>
          <w:rFonts w:ascii="Book Antiqua" w:hAnsi="Book Antiqua" w:cs="Helvetica"/>
          <w:b/>
          <w:lang w:val="en-US"/>
        </w:rPr>
        <w:t>Model</w:t>
      </w:r>
      <w:r>
        <w:rPr>
          <w:rFonts w:ascii="Book Antiqua" w:hAnsi="Book Antiqua" w:cs="Helvetica"/>
          <w:b/>
          <w:lang w:val="en-US"/>
        </w:rPr>
        <w:t xml:space="preserve"> of Motherhood</w:t>
      </w:r>
    </w:p>
    <w:p w14:paraId="032EEDB3" w14:textId="265F42F8" w:rsidR="00176586" w:rsidRDefault="00E84577" w:rsidP="00154AC5">
      <w:pPr>
        <w:spacing w:line="360" w:lineRule="auto"/>
        <w:jc w:val="both"/>
        <w:rPr>
          <w:rFonts w:ascii="Book Antiqua" w:hAnsi="Book Antiqua" w:cs="Helvetica"/>
          <w:lang w:val="en-US"/>
        </w:rPr>
      </w:pPr>
      <w:r>
        <w:rPr>
          <w:rFonts w:ascii="Book Antiqua" w:hAnsi="Book Antiqua" w:cs="Helvetica"/>
          <w:lang w:val="en-US"/>
        </w:rPr>
        <w:t>The Nussbaum/ Langton account leaves us with ten features of objectification: instrumentality, autonomy-denial, inertness, fungibility, violability, ownersh</w:t>
      </w:r>
      <w:r w:rsidR="00176586">
        <w:rPr>
          <w:rFonts w:ascii="Book Antiqua" w:hAnsi="Book Antiqua" w:cs="Helvetica"/>
          <w:lang w:val="en-US"/>
        </w:rPr>
        <w:t xml:space="preserve">ip, and denial of subjectivity.  </w:t>
      </w:r>
      <w:r>
        <w:rPr>
          <w:rFonts w:ascii="Book Antiqua" w:hAnsi="Book Antiqua" w:cs="Helvetica"/>
          <w:lang w:val="en-US"/>
        </w:rPr>
        <w:t>In Nussbaum’s words: objecti</w:t>
      </w:r>
      <w:r w:rsidR="002175FC">
        <w:rPr>
          <w:rFonts w:ascii="Book Antiqua" w:hAnsi="Book Antiqua" w:cs="Helvetica"/>
          <w:lang w:val="en-US"/>
        </w:rPr>
        <w:t>fication</w:t>
      </w:r>
      <w:r>
        <w:rPr>
          <w:rFonts w:ascii="Book Antiqua" w:hAnsi="Book Antiqua" w:cs="Helvetica"/>
          <w:lang w:val="en-US"/>
        </w:rPr>
        <w:t xml:space="preserve"> is </w:t>
      </w:r>
      <w:r w:rsidRPr="002B4B79">
        <w:rPr>
          <w:rFonts w:ascii="Book Antiqua" w:hAnsi="Book Antiqua" w:cs="Helvetica"/>
          <w:lang w:val="en-US"/>
        </w:rPr>
        <w:t>“a relatively loose cluster-term, for whose application we sometimes treat any one of these features as sufficient, though more often a plurality of features is present when the term is applied</w:t>
      </w:r>
      <w:r>
        <w:rPr>
          <w:rFonts w:ascii="Book Antiqua" w:hAnsi="Book Antiqua" w:cs="Helvetica"/>
          <w:lang w:val="en-US"/>
        </w:rPr>
        <w:t>.</w:t>
      </w:r>
      <w:r w:rsidRPr="002B4B79">
        <w:rPr>
          <w:rFonts w:ascii="Book Antiqua" w:hAnsi="Book Antiqua" w:cs="Helvetica"/>
          <w:lang w:val="en-US"/>
        </w:rPr>
        <w:t>”</w:t>
      </w:r>
      <w:r w:rsidRPr="00E84577">
        <w:rPr>
          <w:rStyle w:val="FootnoteReference"/>
          <w:rFonts w:ascii="Book Antiqua" w:hAnsi="Book Antiqua" w:cs="Helvetica"/>
          <w:lang w:val="en-US"/>
        </w:rPr>
        <w:t xml:space="preserve"> </w:t>
      </w:r>
      <w:r>
        <w:rPr>
          <w:rStyle w:val="FootnoteReference"/>
          <w:rFonts w:ascii="Book Antiqua" w:hAnsi="Book Antiqua" w:cs="Helvetica"/>
          <w:lang w:val="en-US"/>
        </w:rPr>
        <w:footnoteReference w:id="29"/>
      </w:r>
      <w:r>
        <w:rPr>
          <w:rFonts w:ascii="Book Antiqua" w:hAnsi="Book Antiqua" w:cs="Helvetica"/>
          <w:lang w:val="en-US"/>
        </w:rPr>
        <w:t xml:space="preserve"> </w:t>
      </w:r>
      <w:r w:rsidR="00176586">
        <w:rPr>
          <w:rFonts w:ascii="Book Antiqua" w:hAnsi="Book Antiqua" w:cs="Helvetica"/>
          <w:lang w:val="en-US"/>
        </w:rPr>
        <w:t xml:space="preserve"> I shall argue that the </w:t>
      </w:r>
      <w:r w:rsidR="00337D39">
        <w:rPr>
          <w:rFonts w:ascii="Book Antiqua" w:hAnsi="Book Antiqua" w:cs="Helvetica"/>
          <w:lang w:val="en-US"/>
        </w:rPr>
        <w:t>Model of M</w:t>
      </w:r>
      <w:r w:rsidR="00176586">
        <w:rPr>
          <w:rFonts w:ascii="Book Antiqua" w:hAnsi="Book Antiqua" w:cs="Helvetica"/>
          <w:lang w:val="en-US"/>
        </w:rPr>
        <w:t>otherhood involves</w:t>
      </w:r>
      <w:r w:rsidR="00176586">
        <w:rPr>
          <w:rFonts w:ascii="Book Antiqua" w:hAnsi="Book Antiqua" w:cs="Helvetica"/>
          <w:i/>
          <w:iCs/>
          <w:lang w:val="en-US"/>
        </w:rPr>
        <w:t xml:space="preserve"> </w:t>
      </w:r>
      <w:r w:rsidR="00176586" w:rsidRPr="00176586">
        <w:rPr>
          <w:rFonts w:ascii="Book Antiqua" w:hAnsi="Book Antiqua" w:cs="Helvetica"/>
          <w:i/>
          <w:iCs/>
          <w:lang w:val="en-US"/>
        </w:rPr>
        <w:t>violability</w:t>
      </w:r>
      <w:r w:rsidR="00176586">
        <w:rPr>
          <w:rFonts w:ascii="Book Antiqua" w:hAnsi="Book Antiqua" w:cs="Helvetica"/>
          <w:lang w:val="en-US"/>
        </w:rPr>
        <w:t>;</w:t>
      </w:r>
      <w:r w:rsidR="00176586" w:rsidRPr="00176586">
        <w:rPr>
          <w:rFonts w:ascii="Book Antiqua" w:hAnsi="Book Antiqua" w:cs="Helvetica"/>
          <w:i/>
          <w:iCs/>
          <w:lang w:val="en-US"/>
        </w:rPr>
        <w:t xml:space="preserve"> reduction to body</w:t>
      </w:r>
      <w:r w:rsidR="00176586">
        <w:rPr>
          <w:rFonts w:ascii="Book Antiqua" w:hAnsi="Book Antiqua" w:cs="Helvetica"/>
          <w:i/>
          <w:iCs/>
          <w:lang w:val="en-US"/>
        </w:rPr>
        <w:t xml:space="preserve">; ownership </w:t>
      </w:r>
      <w:r w:rsidR="00176586">
        <w:rPr>
          <w:rFonts w:ascii="Book Antiqua" w:hAnsi="Book Antiqua" w:cs="Helvetica"/>
          <w:lang w:val="en-US"/>
        </w:rPr>
        <w:t xml:space="preserve">and </w:t>
      </w:r>
      <w:r w:rsidR="00176586" w:rsidRPr="00176586">
        <w:rPr>
          <w:rFonts w:ascii="Book Antiqua" w:hAnsi="Book Antiqua" w:cs="Helvetica"/>
          <w:i/>
          <w:iCs/>
          <w:lang w:val="en-US"/>
        </w:rPr>
        <w:t>silencing</w:t>
      </w:r>
      <w:r w:rsidR="00176586">
        <w:rPr>
          <w:rFonts w:ascii="Book Antiqua" w:hAnsi="Book Antiqua" w:cs="Helvetica"/>
          <w:lang w:val="en-US"/>
        </w:rPr>
        <w:t xml:space="preserve"> in a relatively straightforward way.  It involves </w:t>
      </w:r>
      <w:r w:rsidR="00B70CAF" w:rsidRPr="00B70CAF">
        <w:rPr>
          <w:rFonts w:ascii="Book Antiqua" w:hAnsi="Book Antiqua" w:cs="Helvetica"/>
          <w:i/>
          <w:iCs/>
          <w:lang w:val="en-US"/>
        </w:rPr>
        <w:t>instrumentality</w:t>
      </w:r>
      <w:r w:rsidR="00B70CAF">
        <w:rPr>
          <w:rFonts w:ascii="Book Antiqua" w:hAnsi="Book Antiqua" w:cs="Helvetica"/>
          <w:iCs/>
          <w:lang w:val="en-US"/>
        </w:rPr>
        <w:t xml:space="preserve">, </w:t>
      </w:r>
      <w:r w:rsidR="00176586" w:rsidRPr="00B70CAF">
        <w:rPr>
          <w:rFonts w:ascii="Book Antiqua" w:hAnsi="Book Antiqua" w:cs="Helvetica"/>
          <w:i/>
          <w:iCs/>
          <w:lang w:val="en-US"/>
        </w:rPr>
        <w:t xml:space="preserve">denial </w:t>
      </w:r>
      <w:r w:rsidR="00176586" w:rsidRPr="00176586">
        <w:rPr>
          <w:rFonts w:ascii="Book Antiqua" w:hAnsi="Book Antiqua" w:cs="Helvetica"/>
          <w:i/>
          <w:iCs/>
          <w:lang w:val="en-US"/>
        </w:rPr>
        <w:t>of autonomy</w:t>
      </w:r>
      <w:r w:rsidR="00176586">
        <w:rPr>
          <w:rFonts w:ascii="Book Antiqua" w:hAnsi="Book Antiqua" w:cs="Helvetica"/>
          <w:lang w:val="en-US"/>
        </w:rPr>
        <w:t>;</w:t>
      </w:r>
      <w:r w:rsidR="00176586" w:rsidRPr="00176586">
        <w:rPr>
          <w:rFonts w:ascii="Book Antiqua" w:hAnsi="Book Antiqua" w:cs="Helvetica"/>
          <w:i/>
          <w:iCs/>
          <w:lang w:val="en-US"/>
        </w:rPr>
        <w:t xml:space="preserve"> inertness</w:t>
      </w:r>
      <w:r w:rsidR="00176586">
        <w:rPr>
          <w:rFonts w:ascii="Book Antiqua" w:hAnsi="Book Antiqua" w:cs="Helvetica"/>
          <w:lang w:val="en-US"/>
        </w:rPr>
        <w:t xml:space="preserve">; </w:t>
      </w:r>
      <w:r w:rsidR="00176586" w:rsidRPr="00176586">
        <w:rPr>
          <w:rFonts w:ascii="Book Antiqua" w:hAnsi="Book Antiqua" w:cs="Helvetica"/>
          <w:i/>
          <w:iCs/>
          <w:lang w:val="en-US"/>
        </w:rPr>
        <w:t>fungibility</w:t>
      </w:r>
      <w:r w:rsidR="00176586" w:rsidRPr="00176586">
        <w:rPr>
          <w:rFonts w:ascii="Book Antiqua" w:hAnsi="Book Antiqua" w:cs="Helvetica"/>
          <w:lang w:val="en-US"/>
        </w:rPr>
        <w:t xml:space="preserve">; </w:t>
      </w:r>
      <w:r w:rsidR="00176586">
        <w:rPr>
          <w:rFonts w:ascii="Book Antiqua" w:hAnsi="Book Antiqua" w:cs="Helvetica"/>
          <w:iCs/>
          <w:lang w:val="en-US"/>
        </w:rPr>
        <w:t xml:space="preserve">and </w:t>
      </w:r>
      <w:r w:rsidR="00176586" w:rsidRPr="00176586">
        <w:rPr>
          <w:rFonts w:ascii="Book Antiqua" w:hAnsi="Book Antiqua" w:cs="Helvetica"/>
          <w:i/>
          <w:iCs/>
          <w:lang w:val="en-US"/>
        </w:rPr>
        <w:t>denial of subjectivity</w:t>
      </w:r>
      <w:r w:rsidR="00176586">
        <w:rPr>
          <w:rFonts w:ascii="Book Antiqua" w:hAnsi="Book Antiqua" w:cs="Helvetica"/>
          <w:lang w:val="en-US"/>
        </w:rPr>
        <w:t xml:space="preserve"> in a more complex ‘double-edged’ way.</w:t>
      </w:r>
      <w:r w:rsidR="003E18E7">
        <w:rPr>
          <w:rFonts w:ascii="Book Antiqua" w:hAnsi="Book Antiqua" w:cs="Helvetica"/>
          <w:lang w:val="en-US"/>
        </w:rPr>
        <w:t xml:space="preserve">  If I am right, the model of motherhood certainly posseses sufficiently many of the features picked out by Nussbaum and Langton to count as objectification.</w:t>
      </w:r>
    </w:p>
    <w:p w14:paraId="4985455C" w14:textId="77777777" w:rsidR="00176586" w:rsidRDefault="00176586" w:rsidP="00154AC5">
      <w:pPr>
        <w:spacing w:line="360" w:lineRule="auto"/>
        <w:jc w:val="both"/>
        <w:rPr>
          <w:rFonts w:ascii="Book Antiqua" w:hAnsi="Book Antiqua" w:cs="Helvetica"/>
          <w:lang w:val="en-US"/>
        </w:rPr>
      </w:pPr>
    </w:p>
    <w:p w14:paraId="5C07B34A" w14:textId="774D35A0" w:rsidR="00E30647" w:rsidRPr="00E30647" w:rsidRDefault="00E30647" w:rsidP="00154AC5">
      <w:pPr>
        <w:spacing w:line="360" w:lineRule="auto"/>
        <w:jc w:val="both"/>
        <w:rPr>
          <w:rFonts w:ascii="Book Antiqua" w:hAnsi="Book Antiqua" w:cs="Helvetica"/>
          <w:lang w:val="en-US"/>
        </w:rPr>
      </w:pPr>
      <w:r>
        <w:rPr>
          <w:rFonts w:ascii="Book Antiqua" w:hAnsi="Book Antiqua" w:cs="Helvetica"/>
          <w:i/>
          <w:lang w:val="en-US"/>
        </w:rPr>
        <w:t>Violability; Reduction to Body and Ownership</w:t>
      </w:r>
    </w:p>
    <w:p w14:paraId="2BB8C81B" w14:textId="5A7BA310" w:rsidR="00A72A9A" w:rsidRPr="00A72A9A" w:rsidRDefault="00162269" w:rsidP="00154AC5">
      <w:pPr>
        <w:spacing w:line="360" w:lineRule="auto"/>
        <w:jc w:val="both"/>
        <w:rPr>
          <w:rFonts w:ascii="Book Antiqua" w:hAnsi="Book Antiqua" w:cs="Helvetica"/>
          <w:lang w:val="en-US"/>
        </w:rPr>
      </w:pPr>
      <w:r>
        <w:rPr>
          <w:rFonts w:ascii="Book Antiqua" w:hAnsi="Book Antiqua" w:cs="Helvetica"/>
          <w:lang w:val="en-US"/>
        </w:rPr>
        <w:lastRenderedPageBreak/>
        <w:t xml:space="preserve">Let’s begin with three of the features which the </w:t>
      </w:r>
      <w:r w:rsidR="00337D39">
        <w:rPr>
          <w:rFonts w:ascii="Book Antiqua" w:hAnsi="Book Antiqua" w:cs="Helvetica"/>
          <w:lang w:val="en-US"/>
        </w:rPr>
        <w:t>Model of M</w:t>
      </w:r>
      <w:r>
        <w:rPr>
          <w:rFonts w:ascii="Book Antiqua" w:hAnsi="Book Antiqua" w:cs="Helvetica"/>
          <w:lang w:val="en-US"/>
        </w:rPr>
        <w:t xml:space="preserve">otherhood seems to most straightforwardly involve: </w:t>
      </w:r>
      <w:r w:rsidRPr="00176586">
        <w:rPr>
          <w:rFonts w:ascii="Book Antiqua" w:hAnsi="Book Antiqua" w:cs="Helvetica"/>
          <w:i/>
          <w:iCs/>
          <w:lang w:val="en-US"/>
        </w:rPr>
        <w:t>violability</w:t>
      </w:r>
      <w:r>
        <w:rPr>
          <w:rFonts w:ascii="Book Antiqua" w:hAnsi="Book Antiqua" w:cs="Helvetica"/>
          <w:lang w:val="en-US"/>
        </w:rPr>
        <w:t>;</w:t>
      </w:r>
      <w:r w:rsidRPr="00176586">
        <w:rPr>
          <w:rFonts w:ascii="Book Antiqua" w:hAnsi="Book Antiqua" w:cs="Helvetica"/>
          <w:i/>
          <w:iCs/>
          <w:lang w:val="en-US"/>
        </w:rPr>
        <w:t xml:space="preserve"> reduction to body</w:t>
      </w:r>
      <w:r>
        <w:rPr>
          <w:rFonts w:ascii="Book Antiqua" w:hAnsi="Book Antiqua" w:cs="Helvetica"/>
          <w:i/>
          <w:iCs/>
          <w:lang w:val="en-US"/>
        </w:rPr>
        <w:t xml:space="preserve">; </w:t>
      </w:r>
      <w:r w:rsidR="00E20E39">
        <w:rPr>
          <w:rFonts w:ascii="Book Antiqua" w:hAnsi="Book Antiqua" w:cs="Helvetica"/>
          <w:iCs/>
          <w:lang w:val="en-US"/>
        </w:rPr>
        <w:t xml:space="preserve">and </w:t>
      </w:r>
      <w:r>
        <w:rPr>
          <w:rFonts w:ascii="Book Antiqua" w:hAnsi="Book Antiqua" w:cs="Helvetica"/>
          <w:i/>
          <w:iCs/>
          <w:lang w:val="en-US"/>
        </w:rPr>
        <w:t xml:space="preserve">ownership.  </w:t>
      </w:r>
      <w:r w:rsidR="00A72A9A" w:rsidRPr="00A72A9A">
        <w:rPr>
          <w:rFonts w:ascii="Book Antiqua" w:hAnsi="Book Antiqua" w:cs="Helvetica"/>
          <w:lang w:val="en-US"/>
        </w:rPr>
        <w:t>I’ll start with two rather long quotes from Rebecca Kukla.</w:t>
      </w:r>
    </w:p>
    <w:p w14:paraId="6AE18ACC" w14:textId="77777777" w:rsidR="00A72A9A" w:rsidRDefault="00A72A9A" w:rsidP="00154AC5">
      <w:pPr>
        <w:spacing w:line="360" w:lineRule="auto"/>
        <w:ind w:left="426"/>
        <w:jc w:val="both"/>
        <w:rPr>
          <w:rFonts w:ascii="Book Antiqua" w:hAnsi="Book Antiqua" w:cs="Helvetica"/>
          <w:sz w:val="20"/>
          <w:szCs w:val="20"/>
          <w:lang w:val="en-US"/>
        </w:rPr>
      </w:pPr>
    </w:p>
    <w:p w14:paraId="02285DCB" w14:textId="19B85951" w:rsidR="00E30647" w:rsidRDefault="00F0484F" w:rsidP="00154AC5">
      <w:pPr>
        <w:spacing w:line="360" w:lineRule="auto"/>
        <w:ind w:left="426"/>
        <w:jc w:val="both"/>
        <w:rPr>
          <w:rFonts w:ascii="Book Antiqua" w:hAnsi="Book Antiqua" w:cs="Helvetica"/>
          <w:sz w:val="20"/>
          <w:szCs w:val="20"/>
          <w:lang w:val="en-US"/>
        </w:rPr>
      </w:pPr>
      <w:r w:rsidRPr="00F0484F">
        <w:rPr>
          <w:rFonts w:ascii="Book Antiqua" w:hAnsi="Book Antiqua" w:cs="Helvetica"/>
          <w:sz w:val="20"/>
          <w:szCs w:val="20"/>
          <w:lang w:val="en-US"/>
        </w:rPr>
        <w:t xml:space="preserve">… our culture is permeated by interwoven ideological practices that treat any substantial separation between mothers and infants – and any practices, such as pumping that are conducive to such separation – as fundamentally compromising motherhood.  The fetishization of nursing, and the special nurturing powers of the proper maternal body, positions mothers as </w:t>
      </w:r>
      <w:r w:rsidRPr="00F0484F">
        <w:rPr>
          <w:rFonts w:ascii="Book Antiqua" w:hAnsi="Book Antiqua" w:cs="Helvetica"/>
          <w:i/>
          <w:sz w:val="20"/>
          <w:szCs w:val="20"/>
          <w:lang w:val="en-US"/>
        </w:rPr>
        <w:t>uniquely</w:t>
      </w:r>
      <w:r w:rsidRPr="00F0484F">
        <w:rPr>
          <w:rFonts w:ascii="Book Antiqua" w:hAnsi="Book Antiqua" w:cs="Helvetica"/>
          <w:sz w:val="20"/>
          <w:szCs w:val="20"/>
          <w:lang w:val="en-US"/>
        </w:rPr>
        <w:t xml:space="preserve"> able to meet their children’s needs with their proximate lactating bodies.</w:t>
      </w:r>
      <w:r>
        <w:rPr>
          <w:rStyle w:val="FootnoteReference"/>
          <w:rFonts w:ascii="Book Antiqua" w:hAnsi="Book Antiqua" w:cs="Helvetica"/>
          <w:sz w:val="20"/>
          <w:szCs w:val="20"/>
          <w:lang w:val="en-US"/>
        </w:rPr>
        <w:footnoteReference w:id="30"/>
      </w:r>
    </w:p>
    <w:p w14:paraId="6312BDBE" w14:textId="77777777" w:rsidR="00F0484F" w:rsidRDefault="00F0484F" w:rsidP="00154AC5">
      <w:pPr>
        <w:spacing w:line="360" w:lineRule="auto"/>
        <w:ind w:left="426"/>
        <w:jc w:val="both"/>
        <w:rPr>
          <w:rFonts w:ascii="Book Antiqua" w:hAnsi="Book Antiqua" w:cs="Helvetica"/>
          <w:sz w:val="20"/>
          <w:szCs w:val="20"/>
          <w:lang w:val="en-US"/>
        </w:rPr>
      </w:pPr>
    </w:p>
    <w:p w14:paraId="091E1B87" w14:textId="3A16AD4B" w:rsidR="00F0484F" w:rsidRPr="000F7FD8" w:rsidRDefault="00F0484F" w:rsidP="00154AC5">
      <w:pPr>
        <w:spacing w:line="360" w:lineRule="auto"/>
        <w:ind w:left="426"/>
        <w:jc w:val="both"/>
        <w:rPr>
          <w:rFonts w:ascii="Book Antiqua" w:hAnsi="Book Antiqua" w:cs="Helvetica"/>
          <w:sz w:val="20"/>
          <w:szCs w:val="20"/>
          <w:lang w:val="en-US"/>
        </w:rPr>
      </w:pPr>
      <w:r>
        <w:rPr>
          <w:rFonts w:ascii="Book Antiqua" w:hAnsi="Book Antiqua" w:cs="Helvetica"/>
          <w:sz w:val="20"/>
          <w:szCs w:val="20"/>
          <w:lang w:val="en-US"/>
        </w:rPr>
        <w:t xml:space="preserve">The reign of the Fetish Mother demands of us that we give over our bodies, and especially our breasts, to the unfettered consumptive demands of an infant.  Our breasts are figured as food, at the same time as they are targets of eroticization and social and physical vulnerability.  Public service </w:t>
      </w:r>
      <w:r w:rsidR="000F7FD8">
        <w:rPr>
          <w:rFonts w:ascii="Book Antiqua" w:hAnsi="Book Antiqua" w:cs="Helvetica"/>
          <w:sz w:val="20"/>
          <w:szCs w:val="20"/>
          <w:lang w:val="en-US"/>
        </w:rPr>
        <w:t>images portray the edibility of the maternal breast as part of its natural function.</w:t>
      </w:r>
      <w:r w:rsidR="000F7FD8">
        <w:rPr>
          <w:rStyle w:val="FootnoteReference"/>
          <w:rFonts w:ascii="Book Antiqua" w:hAnsi="Book Antiqua" w:cs="Helvetica"/>
          <w:sz w:val="20"/>
          <w:szCs w:val="20"/>
          <w:lang w:val="en-US"/>
        </w:rPr>
        <w:footnoteReference w:id="31"/>
      </w:r>
    </w:p>
    <w:p w14:paraId="1302ECF1" w14:textId="77777777" w:rsidR="000F7FD8" w:rsidRDefault="000F7FD8" w:rsidP="00154AC5">
      <w:pPr>
        <w:spacing w:line="360" w:lineRule="auto"/>
        <w:jc w:val="both"/>
        <w:rPr>
          <w:rFonts w:ascii="Book Antiqua" w:hAnsi="Book Antiqua" w:cs="Helvetica"/>
          <w:lang w:val="en-US"/>
        </w:rPr>
      </w:pPr>
    </w:p>
    <w:p w14:paraId="4E56428C" w14:textId="3E7F3EB5" w:rsidR="00153704" w:rsidRDefault="00A72A9A" w:rsidP="00154AC5">
      <w:pPr>
        <w:spacing w:line="360" w:lineRule="auto"/>
        <w:jc w:val="both"/>
        <w:rPr>
          <w:rFonts w:ascii="Book Antiqua" w:hAnsi="Book Antiqua" w:cs="Helvetica"/>
          <w:lang w:val="en-US"/>
        </w:rPr>
      </w:pPr>
      <w:r w:rsidRPr="00A72A9A">
        <w:rPr>
          <w:rFonts w:ascii="Book Antiqua" w:hAnsi="Book Antiqua" w:cs="Helvetica"/>
          <w:lang w:val="en-US"/>
        </w:rPr>
        <w:t>Kukla artic</w:t>
      </w:r>
      <w:r>
        <w:rPr>
          <w:rFonts w:ascii="Book Antiqua" w:hAnsi="Book Antiqua" w:cs="Helvetica"/>
          <w:lang w:val="en-US"/>
        </w:rPr>
        <w:t xml:space="preserve">ulates beautifully the ways in which the </w:t>
      </w:r>
      <w:r w:rsidR="001A5233">
        <w:rPr>
          <w:rFonts w:ascii="Book Antiqua" w:hAnsi="Book Antiqua" w:cs="Helvetica"/>
          <w:lang w:val="en-US"/>
        </w:rPr>
        <w:t>Model of M</w:t>
      </w:r>
      <w:r>
        <w:rPr>
          <w:rFonts w:ascii="Book Antiqua" w:hAnsi="Book Antiqua" w:cs="Helvetica"/>
          <w:lang w:val="en-US"/>
        </w:rPr>
        <w:t>otherhood combines violability and reduction to body.</w:t>
      </w:r>
      <w:r w:rsidRPr="00A72A9A">
        <w:rPr>
          <w:rFonts w:ascii="Book Antiqua" w:hAnsi="Book Antiqua" w:cs="Helvetica"/>
          <w:lang w:val="en-US"/>
        </w:rPr>
        <w:t xml:space="preserve"> </w:t>
      </w:r>
      <w:r>
        <w:rPr>
          <w:rFonts w:ascii="Book Antiqua" w:hAnsi="Book Antiqua" w:cs="Helvetica"/>
          <w:lang w:val="en-US"/>
        </w:rPr>
        <w:t xml:space="preserve"> </w:t>
      </w:r>
      <w:r w:rsidR="00F0484F">
        <w:rPr>
          <w:rFonts w:ascii="Book Antiqua" w:hAnsi="Book Antiqua" w:cs="Helvetica"/>
          <w:lang w:val="en-US"/>
        </w:rPr>
        <w:t>A</w:t>
      </w:r>
      <w:r w:rsidR="000F7FD8">
        <w:rPr>
          <w:rFonts w:ascii="Book Antiqua" w:hAnsi="Book Antiqua" w:cs="Helvetica"/>
          <w:lang w:val="en-US"/>
        </w:rPr>
        <w:t xml:space="preserve">s Kukla notes, </w:t>
      </w:r>
      <w:r w:rsidR="002175FC">
        <w:rPr>
          <w:rFonts w:ascii="Book Antiqua" w:hAnsi="Book Antiqua" w:cs="Helvetica"/>
          <w:lang w:val="en-US"/>
        </w:rPr>
        <w:t>the ideal of the nursing mother</w:t>
      </w:r>
      <w:r w:rsidR="000F7FD8">
        <w:rPr>
          <w:rFonts w:ascii="Book Antiqua" w:hAnsi="Book Antiqua" w:cs="Helvetica"/>
          <w:lang w:val="en-US"/>
        </w:rPr>
        <w:t xml:space="preserve"> whose breasts are available to her infant ‘on demand’ challenges the mother’s bodily integrity.  The mother is required to abandon control over – and even the desire to control - the boundaries of her body.</w:t>
      </w:r>
      <w:r>
        <w:rPr>
          <w:rFonts w:ascii="Book Antiqua" w:hAnsi="Book Antiqua" w:cs="Helvetica"/>
          <w:lang w:val="en-US"/>
        </w:rPr>
        <w:t xml:space="preserve">  Simultaneously, the mother is reduced to her body and body parts. Mothers are “uniquely able to meet their children’s needs with their lactating bodies”: those who are unable to do so are do not have “proper maternal bodies” and are </w:t>
      </w:r>
      <w:r w:rsidR="00320E36">
        <w:rPr>
          <w:rFonts w:ascii="Book Antiqua" w:hAnsi="Book Antiqua" w:cs="Helvetica"/>
          <w:lang w:val="en-US"/>
        </w:rPr>
        <w:t xml:space="preserve">thus </w:t>
      </w:r>
      <w:r>
        <w:rPr>
          <w:rFonts w:ascii="Book Antiqua" w:hAnsi="Book Antiqua" w:cs="Helvetica"/>
          <w:lang w:val="en-US"/>
        </w:rPr>
        <w:t>not proper mothers. A badly functioning body implies a badly functioning mother.</w:t>
      </w:r>
      <w:r>
        <w:rPr>
          <w:rStyle w:val="FootnoteReference"/>
          <w:rFonts w:ascii="Book Antiqua" w:hAnsi="Book Antiqua" w:cs="Helvetica"/>
          <w:lang w:val="en-US"/>
        </w:rPr>
        <w:footnoteReference w:id="32"/>
      </w:r>
      <w:r w:rsidR="00C50ED9">
        <w:rPr>
          <w:rFonts w:ascii="Book Antiqua" w:hAnsi="Book Antiqua" w:cs="Helvetica"/>
          <w:lang w:val="en-US"/>
        </w:rPr>
        <w:t xml:space="preserve">  Other imagery, </w:t>
      </w:r>
      <w:r w:rsidR="00C50ED9">
        <w:rPr>
          <w:rFonts w:ascii="Book Antiqua" w:hAnsi="Book Antiqua" w:cs="Helvetica"/>
          <w:lang w:val="en-US"/>
        </w:rPr>
        <w:lastRenderedPageBreak/>
        <w:t xml:space="preserve">such as that in the “Babies were born to </w:t>
      </w:r>
      <w:r w:rsidR="006C6C76">
        <w:rPr>
          <w:rFonts w:ascii="Book Antiqua" w:hAnsi="Book Antiqua" w:cs="Helvetica"/>
          <w:lang w:val="en-US"/>
        </w:rPr>
        <w:t>be breastfe</w:t>
      </w:r>
      <w:r w:rsidR="00C50ED9">
        <w:rPr>
          <w:rFonts w:ascii="Book Antiqua" w:hAnsi="Book Antiqua" w:cs="Helvetica"/>
          <w:lang w:val="en-US"/>
        </w:rPr>
        <w:t>d campaign” which Kukla highlights as portraying breasts as food, reduces the mother not to a maternal body but to a pair of breasts.</w:t>
      </w:r>
      <w:r w:rsidR="00154AC5">
        <w:rPr>
          <w:rFonts w:ascii="Book Antiqua" w:hAnsi="Book Antiqua" w:cs="Helvetica"/>
          <w:lang w:val="en-US"/>
        </w:rPr>
        <w:t xml:space="preserve">  The image shows a dish of two adjacent scoops of pale-coloured ice cream, topped with bright red cherries, which are clearly meant to represent breasts. Nearby is part of a spoon and a napkin. The text reads: “Breastfeed for 6 months.  You might help reduce your child’s risk for childhood obesity.”</w:t>
      </w:r>
      <w:r w:rsidR="00154AC5">
        <w:rPr>
          <w:rStyle w:val="FootnoteReference"/>
          <w:rFonts w:ascii="Book Antiqua" w:hAnsi="Book Antiqua" w:cs="Helvetica"/>
          <w:lang w:val="en-US"/>
        </w:rPr>
        <w:footnoteReference w:id="33"/>
      </w:r>
      <w:r w:rsidR="00154AC5">
        <w:rPr>
          <w:rFonts w:ascii="Book Antiqua" w:hAnsi="Book Antiqua" w:cs="Helvetica"/>
          <w:lang w:val="en-US"/>
        </w:rPr>
        <w:t xml:space="preserve">  </w:t>
      </w:r>
      <w:r w:rsidR="00C50ED9">
        <w:rPr>
          <w:rFonts w:ascii="Book Antiqua" w:hAnsi="Book Antiqua" w:cs="Helvetica"/>
          <w:lang w:val="en-US"/>
        </w:rPr>
        <w:t xml:space="preserve">As Kukla points out, one problem with this is its portrayal of parts of women’s bodies as edible, treating women’s bodies as both violable and instrumental.  In addition, the breast is pictured </w:t>
      </w:r>
      <w:r w:rsidR="00320E36">
        <w:rPr>
          <w:rFonts w:ascii="Book Antiqua" w:hAnsi="Book Antiqua" w:cs="Helvetica"/>
          <w:lang w:val="en-US"/>
        </w:rPr>
        <w:t xml:space="preserve">as </w:t>
      </w:r>
      <w:r w:rsidR="00C50ED9">
        <w:rPr>
          <w:rFonts w:ascii="Book Antiqua" w:hAnsi="Book Antiqua" w:cs="Helvetica"/>
          <w:lang w:val="en-US"/>
        </w:rPr>
        <w:t>separate from the mother, ignoring the fact that breastfeeding requires not just the mother</w:t>
      </w:r>
      <w:r w:rsidR="00320E36">
        <w:rPr>
          <w:rFonts w:ascii="Book Antiqua" w:hAnsi="Book Antiqua" w:cs="Helvetica"/>
          <w:lang w:val="en-US"/>
        </w:rPr>
        <w:t>’</w:t>
      </w:r>
      <w:r w:rsidR="00C50ED9">
        <w:rPr>
          <w:rFonts w:ascii="Book Antiqua" w:hAnsi="Book Antiqua" w:cs="Helvetica"/>
          <w:lang w:val="en-US"/>
        </w:rPr>
        <w:t>s whole body, but maternal agency.</w:t>
      </w:r>
    </w:p>
    <w:p w14:paraId="41997A9A" w14:textId="5D11F761" w:rsidR="00281FA7" w:rsidRDefault="00D83BEF" w:rsidP="00154AC5">
      <w:pPr>
        <w:spacing w:line="360" w:lineRule="auto"/>
        <w:ind w:firstLine="720"/>
        <w:jc w:val="both"/>
        <w:rPr>
          <w:rFonts w:ascii="Book Antiqua" w:hAnsi="Book Antiqua" w:cs="Helvetica"/>
          <w:lang w:val="en-US"/>
        </w:rPr>
      </w:pPr>
      <w:r>
        <w:rPr>
          <w:rFonts w:ascii="Book Antiqua" w:hAnsi="Book Antiqua" w:cs="Helvetica"/>
          <w:lang w:val="en-US"/>
        </w:rPr>
        <w:t>Consider also the</w:t>
      </w:r>
      <w:r w:rsidR="00153704">
        <w:rPr>
          <w:rFonts w:ascii="Book Antiqua" w:hAnsi="Book Antiqua" w:cs="Helvetica"/>
          <w:lang w:val="en-US"/>
        </w:rPr>
        <w:t xml:space="preserve"> phrase “Breasts are for babies.” </w:t>
      </w:r>
      <w:r w:rsidR="00281FA7">
        <w:rPr>
          <w:rFonts w:ascii="Book Antiqua" w:hAnsi="Book Antiqua" w:cs="Helvetica"/>
          <w:lang w:val="en-US"/>
        </w:rPr>
        <w:t>This phrase</w:t>
      </w:r>
      <w:r w:rsidR="00153704">
        <w:rPr>
          <w:rFonts w:ascii="Book Antiqua" w:hAnsi="Book Antiqua" w:cs="Helvetica"/>
          <w:lang w:val="en-US"/>
        </w:rPr>
        <w:t xml:space="preserve"> is </w:t>
      </w:r>
      <w:r w:rsidR="00281FA7">
        <w:rPr>
          <w:rFonts w:ascii="Book Antiqua" w:hAnsi="Book Antiqua" w:cs="Helvetica"/>
          <w:lang w:val="en-US"/>
        </w:rPr>
        <w:t xml:space="preserve">often directed towards men. </w:t>
      </w:r>
      <w:r w:rsidR="00154AC5">
        <w:rPr>
          <w:rFonts w:ascii="Book Antiqua" w:hAnsi="Book Antiqua" w:cs="Helvetica"/>
          <w:lang w:val="en-US"/>
        </w:rPr>
        <w:t>In</w:t>
      </w:r>
      <w:r w:rsidR="00153704">
        <w:rPr>
          <w:rFonts w:ascii="Book Antiqua" w:hAnsi="Book Antiqua" w:cs="Helvetica"/>
          <w:lang w:val="en-US"/>
        </w:rPr>
        <w:t xml:space="preserve"> this apparently well-meaning blog post entitled “Grow up Men.  Breasts are for</w:t>
      </w:r>
      <w:r w:rsidR="00154AC5">
        <w:rPr>
          <w:rFonts w:ascii="Book Antiqua" w:hAnsi="Book Antiqua" w:cs="Helvetica"/>
          <w:lang w:val="en-US"/>
        </w:rPr>
        <w:t xml:space="preserve"> Babies</w:t>
      </w:r>
      <w:r w:rsidR="00153704">
        <w:rPr>
          <w:rFonts w:ascii="Book Antiqua" w:hAnsi="Book Antiqua" w:cs="Helvetica"/>
          <w:lang w:val="en-US"/>
        </w:rPr>
        <w:t>”</w:t>
      </w:r>
      <w:r w:rsidR="00154AC5">
        <w:rPr>
          <w:rFonts w:ascii="Book Antiqua" w:hAnsi="Book Antiqua" w:cs="Helvetica"/>
          <w:lang w:val="en-US"/>
        </w:rPr>
        <w:t>, t</w:t>
      </w:r>
      <w:r w:rsidR="00153704">
        <w:rPr>
          <w:rFonts w:ascii="Book Antiqua" w:hAnsi="Book Antiqua" w:cs="Helvetica"/>
          <w:lang w:val="en-US"/>
        </w:rPr>
        <w:t>he (male) author describes his initial discomfort at his wife’s breastfeeding:  “</w:t>
      </w:r>
      <w:r w:rsidR="00153704" w:rsidRPr="00153704">
        <w:rPr>
          <w:rFonts w:ascii="Book Antiqua" w:hAnsi="Book Antiqua" w:cs="Helvetica"/>
          <w:lang w:val="en-US"/>
        </w:rPr>
        <w:t xml:space="preserve">Once my son was born, I quickly </w:t>
      </w:r>
      <w:r w:rsidR="00320E36" w:rsidRPr="00153704">
        <w:rPr>
          <w:rFonts w:ascii="Book Antiqua" w:hAnsi="Book Antiqua" w:cs="Helvetica"/>
          <w:lang w:val="en-US"/>
        </w:rPr>
        <w:t>realized</w:t>
      </w:r>
      <w:r w:rsidR="00153704" w:rsidRPr="00153704">
        <w:rPr>
          <w:rFonts w:ascii="Book Antiqua" w:hAnsi="Book Antiqua" w:cs="Helvetica"/>
          <w:lang w:val="en-US"/>
        </w:rPr>
        <w:t xml:space="preserve"> what I had long dreaded: my wife's breasts had to be shared with someone else, even though he had a greater need for them than me.</w:t>
      </w:r>
      <w:r w:rsidR="00153704">
        <w:rPr>
          <w:rFonts w:ascii="Book Antiqua" w:hAnsi="Book Antiqua" w:cs="Helvetica"/>
          <w:lang w:val="en-US"/>
        </w:rPr>
        <w:t xml:space="preserve">”  The post has </w:t>
      </w:r>
      <w:r>
        <w:rPr>
          <w:rFonts w:ascii="Book Antiqua" w:hAnsi="Book Antiqua" w:cs="Helvetica"/>
          <w:lang w:val="en-US"/>
        </w:rPr>
        <w:t xml:space="preserve">what is presented as </w:t>
      </w:r>
      <w:r w:rsidR="00153704">
        <w:rPr>
          <w:rFonts w:ascii="Book Antiqua" w:hAnsi="Book Antiqua" w:cs="Helvetica"/>
          <w:lang w:val="en-US"/>
        </w:rPr>
        <w:t>a happy ending</w:t>
      </w:r>
      <w:r w:rsidR="00FC1B92">
        <w:rPr>
          <w:rFonts w:ascii="Book Antiqua" w:hAnsi="Book Antiqua" w:cs="Helvetica"/>
          <w:lang w:val="en-US"/>
        </w:rPr>
        <w:t>. The author realizes:</w:t>
      </w:r>
      <w:r w:rsidR="00153704">
        <w:rPr>
          <w:rFonts w:ascii="Book Antiqua" w:hAnsi="Book Antiqua" w:cs="Helvetica"/>
          <w:lang w:val="en-US"/>
        </w:rPr>
        <w:t xml:space="preserve"> “</w:t>
      </w:r>
      <w:r w:rsidR="00153704" w:rsidRPr="00153704">
        <w:rPr>
          <w:rFonts w:ascii="Book Antiqua" w:hAnsi="Book Antiqua" w:cs="Helvetica"/>
          <w:lang w:val="en-US"/>
        </w:rPr>
        <w:t>Nevertheless, seeing my wife's naked breasts several times a day, even with lessened ownership rights and in a new</w:t>
      </w:r>
      <w:r w:rsidR="00F73CD8">
        <w:rPr>
          <w:rFonts w:ascii="Book Antiqua" w:hAnsi="Book Antiqua" w:cs="Helvetica"/>
          <w:lang w:val="en-US"/>
        </w:rPr>
        <w:t xml:space="preserve"> context, is still enjoyable, as</w:t>
      </w:r>
      <w:r w:rsidR="00153704" w:rsidRPr="00153704">
        <w:rPr>
          <w:rFonts w:ascii="Book Antiqua" w:hAnsi="Book Antiqua" w:cs="Helvetica"/>
          <w:lang w:val="en-US"/>
        </w:rPr>
        <w:t xml:space="preserve"> it beats asking for permission.</w:t>
      </w:r>
      <w:r w:rsidR="00153704">
        <w:rPr>
          <w:rFonts w:ascii="Book Antiqua" w:hAnsi="Book Antiqua" w:cs="Helvetica"/>
          <w:lang w:val="en-US"/>
        </w:rPr>
        <w:t>”</w:t>
      </w:r>
      <w:r w:rsidR="00281FA7">
        <w:rPr>
          <w:rStyle w:val="FootnoteReference"/>
          <w:rFonts w:ascii="Book Antiqua" w:hAnsi="Book Antiqua" w:cs="Helvetica"/>
          <w:lang w:val="en-US"/>
        </w:rPr>
        <w:footnoteReference w:id="34"/>
      </w:r>
      <w:r>
        <w:rPr>
          <w:rFonts w:ascii="Book Antiqua" w:hAnsi="Book Antiqua" w:cs="Helvetica"/>
          <w:lang w:val="en-US"/>
        </w:rPr>
        <w:t xml:space="preserve">  </w:t>
      </w:r>
      <w:r w:rsidR="00FC1B92">
        <w:rPr>
          <w:rFonts w:ascii="Book Antiqua" w:hAnsi="Book Antiqua" w:cs="Helvetica"/>
          <w:lang w:val="en-US"/>
        </w:rPr>
        <w:t>T</w:t>
      </w:r>
      <w:r w:rsidR="00281FA7">
        <w:rPr>
          <w:rFonts w:ascii="Book Antiqua" w:hAnsi="Book Antiqua" w:cs="Helvetica"/>
          <w:lang w:val="en-US"/>
        </w:rPr>
        <w:t>he phrase “Breasts are for babies” is often uttered as a purport</w:t>
      </w:r>
      <w:r w:rsidR="00320E36">
        <w:rPr>
          <w:rFonts w:ascii="Book Antiqua" w:hAnsi="Book Antiqua" w:cs="Helvetica"/>
          <w:lang w:val="en-US"/>
        </w:rPr>
        <w:t>ed</w:t>
      </w:r>
      <w:r w:rsidR="00281FA7">
        <w:rPr>
          <w:rFonts w:ascii="Book Antiqua" w:hAnsi="Book Antiqua" w:cs="Helvetica"/>
          <w:lang w:val="en-US"/>
        </w:rPr>
        <w:t>ly feminist claim,</w:t>
      </w:r>
      <w:r w:rsidR="00320E36">
        <w:rPr>
          <w:rFonts w:ascii="Book Antiqua" w:hAnsi="Book Antiqua" w:cs="Helvetica"/>
          <w:lang w:val="en-US"/>
        </w:rPr>
        <w:t xml:space="preserve"> a rebuttal to the over-sexualis</w:t>
      </w:r>
      <w:r w:rsidR="00281FA7">
        <w:rPr>
          <w:rFonts w:ascii="Book Antiqua" w:hAnsi="Book Antiqua" w:cs="Helvetica"/>
          <w:lang w:val="en-US"/>
        </w:rPr>
        <w:t>ation of women’s bodies. The above example of objectification (clearly involving violability, reduction to body parts and even ownership) highlights the problem with this.</w:t>
      </w:r>
      <w:r w:rsidR="00C50ED9">
        <w:rPr>
          <w:rFonts w:ascii="Book Antiqua" w:hAnsi="Book Antiqua" w:cs="Helvetica"/>
          <w:lang w:val="en-US"/>
        </w:rPr>
        <w:t xml:space="preserve">  </w:t>
      </w:r>
      <w:r w:rsidR="00FC1B92">
        <w:rPr>
          <w:rFonts w:ascii="Book Antiqua" w:hAnsi="Book Antiqua" w:cs="Helvetica"/>
          <w:lang w:val="en-US"/>
        </w:rPr>
        <w:t>T</w:t>
      </w:r>
      <w:r w:rsidR="00C50ED9">
        <w:rPr>
          <w:rFonts w:ascii="Book Antiqua" w:hAnsi="Book Antiqua" w:cs="Helvetica"/>
          <w:lang w:val="en-US"/>
        </w:rPr>
        <w:t>he claim that breasts are for babies</w:t>
      </w:r>
      <w:r w:rsidR="00320E36">
        <w:rPr>
          <w:rFonts w:ascii="Book Antiqua" w:hAnsi="Book Antiqua" w:cs="Helvetica"/>
          <w:lang w:val="en-US"/>
        </w:rPr>
        <w:t>, even with a feminist spin,</w:t>
      </w:r>
      <w:r w:rsidR="00C50ED9">
        <w:rPr>
          <w:rFonts w:ascii="Book Antiqua" w:hAnsi="Book Antiqua" w:cs="Helvetica"/>
          <w:lang w:val="en-US"/>
        </w:rPr>
        <w:t xml:space="preserve"> shares troubling features </w:t>
      </w:r>
      <w:r w:rsidR="00C50ED9">
        <w:rPr>
          <w:rFonts w:ascii="Book Antiqua" w:hAnsi="Book Antiqua" w:cs="Helvetica"/>
          <w:lang w:val="en-US"/>
        </w:rPr>
        <w:lastRenderedPageBreak/>
        <w:t>with the assumption that breasts are for men.</w:t>
      </w:r>
      <w:r w:rsidR="008727AA">
        <w:rPr>
          <w:rFonts w:ascii="Book Antiqua" w:hAnsi="Book Antiqua" w:cs="Helvetica"/>
          <w:lang w:val="en-US"/>
        </w:rPr>
        <w:t xml:space="preserve"> </w:t>
      </w:r>
      <w:r w:rsidR="00281FA7">
        <w:rPr>
          <w:rFonts w:ascii="Book Antiqua" w:hAnsi="Book Antiqua" w:cs="Helvetica"/>
          <w:lang w:val="en-US"/>
        </w:rPr>
        <w:t>Breasts are not “for men” or “for babies”. They are parts of a woman’s body.</w:t>
      </w:r>
      <w:r w:rsidR="00281FA7">
        <w:rPr>
          <w:rStyle w:val="FootnoteReference"/>
          <w:rFonts w:ascii="Book Antiqua" w:hAnsi="Book Antiqua" w:cs="Helvetica"/>
          <w:lang w:val="en-US"/>
        </w:rPr>
        <w:footnoteReference w:id="35"/>
      </w:r>
      <w:r w:rsidR="00C50ED9">
        <w:rPr>
          <w:rFonts w:ascii="Book Antiqua" w:hAnsi="Book Antiqua" w:cs="Helvetica"/>
          <w:lang w:val="en-US"/>
        </w:rPr>
        <w:t xml:space="preserve"> </w:t>
      </w:r>
    </w:p>
    <w:p w14:paraId="6AB21807" w14:textId="3D642EFB" w:rsidR="00D801A0" w:rsidRDefault="00D801A0" w:rsidP="00154AC5">
      <w:pPr>
        <w:spacing w:line="360" w:lineRule="auto"/>
        <w:ind w:firstLine="720"/>
        <w:jc w:val="both"/>
        <w:rPr>
          <w:rFonts w:ascii="Book Antiqua" w:hAnsi="Book Antiqua" w:cs="Helvetica"/>
          <w:lang w:val="en-US"/>
        </w:rPr>
      </w:pPr>
      <w:r>
        <w:rPr>
          <w:rFonts w:ascii="Book Antiqua" w:hAnsi="Book Antiqua" w:cs="Helvetica"/>
          <w:lang w:val="en-US"/>
        </w:rPr>
        <w:t>I am not against breastfeeding or even feeding on demand.</w:t>
      </w:r>
      <w:r w:rsidR="00673418">
        <w:rPr>
          <w:rStyle w:val="FootnoteReference"/>
          <w:rFonts w:ascii="Book Antiqua" w:hAnsi="Book Antiqua" w:cs="Helvetica"/>
          <w:lang w:val="en-US"/>
        </w:rPr>
        <w:footnoteReference w:id="36"/>
      </w:r>
      <w:r>
        <w:rPr>
          <w:rFonts w:ascii="Book Antiqua" w:hAnsi="Book Antiqua" w:cs="Helvetica"/>
          <w:lang w:val="en-US"/>
        </w:rPr>
        <w:t xml:space="preserve"> </w:t>
      </w:r>
      <w:r w:rsidR="00452310" w:rsidRPr="00452310">
        <w:rPr>
          <w:rFonts w:ascii="Book Antiqua" w:hAnsi="Book Antiqua" w:cs="Helvetica"/>
          <w:lang w:val="en-US"/>
        </w:rPr>
        <w:t xml:space="preserve">I am not against appropriate calls for better breastfeeding support </w:t>
      </w:r>
      <w:r w:rsidR="00FC1B92">
        <w:rPr>
          <w:rFonts w:ascii="Book Antiqua" w:hAnsi="Book Antiqua" w:cs="Helvetica"/>
          <w:lang w:val="en-US"/>
        </w:rPr>
        <w:t>or more</w:t>
      </w:r>
      <w:r w:rsidR="00452310" w:rsidRPr="00452310">
        <w:rPr>
          <w:rFonts w:ascii="Book Antiqua" w:hAnsi="Book Antiqua" w:cs="Helvetica"/>
          <w:lang w:val="en-US"/>
        </w:rPr>
        <w:t xml:space="preserve"> information </w:t>
      </w:r>
      <w:r w:rsidR="00FC1B92">
        <w:rPr>
          <w:rFonts w:ascii="Book Antiqua" w:hAnsi="Book Antiqua" w:cs="Helvetica"/>
          <w:lang w:val="en-US"/>
        </w:rPr>
        <w:t>about</w:t>
      </w:r>
      <w:r w:rsidR="00452310" w:rsidRPr="00452310">
        <w:rPr>
          <w:rFonts w:ascii="Book Antiqua" w:hAnsi="Book Antiqua" w:cs="Helvetica"/>
          <w:lang w:val="en-US"/>
        </w:rPr>
        <w:t xml:space="preserve"> breastfeed</w:t>
      </w:r>
      <w:r w:rsidR="00FC1B92">
        <w:rPr>
          <w:rFonts w:ascii="Book Antiqua" w:hAnsi="Book Antiqua" w:cs="Helvetica"/>
          <w:lang w:val="en-US"/>
        </w:rPr>
        <w:t>ing and its benefits</w:t>
      </w:r>
      <w:r w:rsidR="00452310" w:rsidRPr="00452310">
        <w:rPr>
          <w:rFonts w:ascii="Book Antiqua" w:hAnsi="Book Antiqua" w:cs="Helvetica"/>
          <w:lang w:val="en-US"/>
        </w:rPr>
        <w:t xml:space="preserve">. I also don't claim that the act of breastfeeding </w:t>
      </w:r>
      <w:r w:rsidR="00452310">
        <w:rPr>
          <w:rFonts w:ascii="Book Antiqua" w:hAnsi="Book Antiqua" w:cs="Helvetica"/>
          <w:lang w:val="en-US"/>
        </w:rPr>
        <w:t>itself</w:t>
      </w:r>
      <w:r w:rsidR="00452310" w:rsidRPr="00452310">
        <w:rPr>
          <w:rFonts w:ascii="Book Antiqua" w:hAnsi="Book Antiqua" w:cs="Helvetica"/>
          <w:lang w:val="en-US"/>
        </w:rPr>
        <w:t xml:space="preserve"> is objectifying. </w:t>
      </w:r>
      <w:r>
        <w:rPr>
          <w:rFonts w:ascii="Book Antiqua" w:hAnsi="Book Antiqua" w:cs="Helvetica"/>
          <w:lang w:val="en-US"/>
        </w:rPr>
        <w:t xml:space="preserve">What I find troubling </w:t>
      </w:r>
      <w:r w:rsidR="0053217A">
        <w:rPr>
          <w:rFonts w:ascii="Book Antiqua" w:hAnsi="Book Antiqua" w:cs="Helvetica"/>
          <w:lang w:val="en-US"/>
        </w:rPr>
        <w:t>is</w:t>
      </w:r>
      <w:r>
        <w:rPr>
          <w:rFonts w:ascii="Book Antiqua" w:hAnsi="Book Antiqua" w:cs="Helvetica"/>
          <w:lang w:val="en-US"/>
        </w:rPr>
        <w:t xml:space="preserve"> the way that breastfeeding features in the </w:t>
      </w:r>
      <w:r w:rsidR="00D83BEF">
        <w:rPr>
          <w:rFonts w:ascii="Book Antiqua" w:hAnsi="Book Antiqua" w:cs="Helvetica"/>
          <w:lang w:val="en-US"/>
        </w:rPr>
        <w:t>Model of M</w:t>
      </w:r>
      <w:r>
        <w:rPr>
          <w:rFonts w:ascii="Book Antiqua" w:hAnsi="Book Antiqua" w:cs="Helvetica"/>
          <w:lang w:val="en-US"/>
        </w:rPr>
        <w:t>otherhood</w:t>
      </w:r>
      <w:r w:rsidR="00C22D20">
        <w:rPr>
          <w:rFonts w:ascii="Book Antiqua" w:hAnsi="Book Antiqua" w:cs="Helvetica"/>
          <w:lang w:val="en-US"/>
        </w:rPr>
        <w:t xml:space="preserve"> and in which the </w:t>
      </w:r>
      <w:r w:rsidR="00D83BEF">
        <w:rPr>
          <w:rFonts w:ascii="Book Antiqua" w:hAnsi="Book Antiqua" w:cs="Helvetica"/>
          <w:lang w:val="en-US"/>
        </w:rPr>
        <w:t>Model</w:t>
      </w:r>
      <w:r w:rsidR="00C22D20">
        <w:rPr>
          <w:rFonts w:ascii="Book Antiqua" w:hAnsi="Book Antiqua" w:cs="Helvetica"/>
          <w:lang w:val="en-US"/>
        </w:rPr>
        <w:t xml:space="preserve"> of </w:t>
      </w:r>
      <w:r w:rsidR="00D83BEF">
        <w:rPr>
          <w:rFonts w:ascii="Book Antiqua" w:hAnsi="Book Antiqua" w:cs="Helvetica"/>
          <w:lang w:val="en-US"/>
        </w:rPr>
        <w:t>M</w:t>
      </w:r>
      <w:r w:rsidR="00C22D20">
        <w:rPr>
          <w:rFonts w:ascii="Book Antiqua" w:hAnsi="Book Antiqua" w:cs="Helvetica"/>
          <w:lang w:val="en-US"/>
        </w:rPr>
        <w:t xml:space="preserve">otherhood infuses some breastfeeding promotion.  </w:t>
      </w:r>
      <w:r w:rsidR="002C5C77">
        <w:rPr>
          <w:rFonts w:ascii="Book Antiqua" w:hAnsi="Book Antiqua" w:cs="Helvetica"/>
          <w:lang w:val="en-US"/>
        </w:rPr>
        <w:t>In</w:t>
      </w:r>
      <w:r w:rsidR="0053217A">
        <w:rPr>
          <w:rFonts w:ascii="Book Antiqua" w:hAnsi="Book Antiqua" w:cs="Helvetica"/>
          <w:lang w:val="en-US"/>
        </w:rPr>
        <w:t xml:space="preserve"> the </w:t>
      </w:r>
      <w:r w:rsidR="00D83BEF">
        <w:rPr>
          <w:rFonts w:ascii="Book Antiqua" w:hAnsi="Book Antiqua" w:cs="Helvetica"/>
          <w:lang w:val="en-US"/>
        </w:rPr>
        <w:t>Model of M</w:t>
      </w:r>
      <w:r w:rsidR="0053217A">
        <w:rPr>
          <w:rFonts w:ascii="Book Antiqua" w:hAnsi="Book Antiqua" w:cs="Helvetica"/>
          <w:lang w:val="en-US"/>
        </w:rPr>
        <w:t xml:space="preserve">otherhood: one of the key features of the ‘good mother’ is that she breastfeeds directly and on-demand.  </w:t>
      </w:r>
      <w:r w:rsidR="00FC1B92">
        <w:rPr>
          <w:rFonts w:ascii="Book Antiqua" w:hAnsi="Book Antiqua" w:cs="Helvetica"/>
          <w:lang w:val="en-US"/>
        </w:rPr>
        <w:t>T</w:t>
      </w:r>
      <w:r w:rsidR="002C5C77">
        <w:rPr>
          <w:rFonts w:ascii="Book Antiqua" w:hAnsi="Book Antiqua" w:cs="Helvetica"/>
          <w:lang w:val="en-US"/>
        </w:rPr>
        <w:t>hose who do not, or cannot,</w:t>
      </w:r>
      <w:r>
        <w:rPr>
          <w:rFonts w:ascii="Book Antiqua" w:hAnsi="Book Antiqua" w:cs="Helvetica"/>
          <w:lang w:val="en-US"/>
        </w:rPr>
        <w:t xml:space="preserve"> </w:t>
      </w:r>
      <w:r w:rsidR="00C22D20">
        <w:rPr>
          <w:rFonts w:ascii="Book Antiqua" w:hAnsi="Book Antiqua" w:cs="Helvetica"/>
          <w:lang w:val="en-US"/>
        </w:rPr>
        <w:t>breastfeed directly and on-demand</w:t>
      </w:r>
      <w:r>
        <w:rPr>
          <w:rFonts w:ascii="Book Antiqua" w:hAnsi="Book Antiqua" w:cs="Helvetica"/>
          <w:lang w:val="en-US"/>
        </w:rPr>
        <w:t xml:space="preserve"> are not good mothers.</w:t>
      </w:r>
      <w:r w:rsidR="002C5C77">
        <w:rPr>
          <w:rFonts w:ascii="Book Antiqua" w:hAnsi="Book Antiqua" w:cs="Helvetica"/>
          <w:lang w:val="en-US"/>
        </w:rPr>
        <w:t xml:space="preserve">  A mother’s worth is governed by the functioning of</w:t>
      </w:r>
      <w:r w:rsidR="00BF5500">
        <w:rPr>
          <w:rFonts w:ascii="Book Antiqua" w:hAnsi="Book Antiqua" w:cs="Helvetica"/>
          <w:lang w:val="en-US"/>
        </w:rPr>
        <w:t xml:space="preserve"> her breasts</w:t>
      </w:r>
      <w:r w:rsidR="002C5C77">
        <w:rPr>
          <w:rFonts w:ascii="Book Antiqua" w:hAnsi="Book Antiqua" w:cs="Helvetica"/>
          <w:lang w:val="en-US"/>
        </w:rPr>
        <w:t xml:space="preserve">. </w:t>
      </w:r>
      <w:r w:rsidR="00C22D20">
        <w:rPr>
          <w:rFonts w:ascii="Book Antiqua" w:hAnsi="Book Antiqua" w:cs="Helvetica"/>
          <w:lang w:val="en-US"/>
        </w:rPr>
        <w:t>On this picture</w:t>
      </w:r>
      <w:r w:rsidR="00863DDE">
        <w:rPr>
          <w:rFonts w:ascii="Book Antiqua" w:hAnsi="Book Antiqua" w:cs="Helvetica"/>
          <w:lang w:val="en-US"/>
        </w:rPr>
        <w:t>,</w:t>
      </w:r>
      <w:r w:rsidR="00223366">
        <w:rPr>
          <w:rFonts w:ascii="Book Antiqua" w:hAnsi="Book Antiqua" w:cs="Helvetica"/>
          <w:lang w:val="en-US"/>
        </w:rPr>
        <w:t xml:space="preserve"> which we see reflected in much breastfeeding promotion,</w:t>
      </w:r>
      <w:r w:rsidR="00C22D20">
        <w:rPr>
          <w:rFonts w:ascii="Book Antiqua" w:hAnsi="Book Antiqua" w:cs="Helvetica"/>
          <w:lang w:val="en-US"/>
        </w:rPr>
        <w:t xml:space="preserve"> </w:t>
      </w:r>
      <w:r>
        <w:rPr>
          <w:rFonts w:ascii="Book Antiqua" w:hAnsi="Book Antiqua" w:cs="Helvetica"/>
          <w:lang w:val="en-US"/>
        </w:rPr>
        <w:t>babies have a right of un</w:t>
      </w:r>
      <w:r w:rsidR="00E53758">
        <w:rPr>
          <w:rFonts w:ascii="Book Antiqua" w:hAnsi="Book Antiqua" w:cs="Helvetica"/>
          <w:lang w:val="en-US"/>
        </w:rPr>
        <w:t>fettered access to their mother</w:t>
      </w:r>
      <w:r>
        <w:rPr>
          <w:rFonts w:ascii="Book Antiqua" w:hAnsi="Book Antiqua" w:cs="Helvetica"/>
          <w:lang w:val="en-US"/>
        </w:rPr>
        <w:t>s</w:t>
      </w:r>
      <w:r w:rsidR="00E53758">
        <w:rPr>
          <w:rFonts w:ascii="Book Antiqua" w:hAnsi="Book Antiqua" w:cs="Helvetica"/>
          <w:lang w:val="en-US"/>
        </w:rPr>
        <w:t>’</w:t>
      </w:r>
      <w:r w:rsidR="0053217A">
        <w:rPr>
          <w:rFonts w:ascii="Book Antiqua" w:hAnsi="Book Antiqua" w:cs="Helvetica"/>
          <w:lang w:val="en-US"/>
        </w:rPr>
        <w:t xml:space="preserve"> breasts</w:t>
      </w:r>
      <w:r w:rsidR="002C5C77">
        <w:rPr>
          <w:rFonts w:ascii="Book Antiqua" w:hAnsi="Book Antiqua" w:cs="Helvetica"/>
          <w:lang w:val="en-US"/>
        </w:rPr>
        <w:t>.</w:t>
      </w:r>
      <w:r w:rsidR="00BF5500">
        <w:rPr>
          <w:rFonts w:ascii="Book Antiqua" w:hAnsi="Book Antiqua" w:cs="Helvetica"/>
          <w:lang w:val="en-US"/>
        </w:rPr>
        <w:t xml:space="preserve">  Those breasts, far from being understood as protected by the mother’s rights to bodily integrity, are seen as separated from the mother’s body, as objects belonging to the baby, as food to be consumed.</w:t>
      </w:r>
      <w:r w:rsidR="00455636">
        <w:rPr>
          <w:rFonts w:ascii="Book Antiqua" w:hAnsi="Book Antiqua" w:cs="Helvetica"/>
          <w:lang w:val="en-US"/>
        </w:rPr>
        <w:t xml:space="preserve">  T</w:t>
      </w:r>
      <w:r w:rsidR="00BF5500">
        <w:rPr>
          <w:rFonts w:ascii="Book Antiqua" w:hAnsi="Book Antiqua" w:cs="Helvetica"/>
          <w:lang w:val="en-US"/>
        </w:rPr>
        <w:t>his</w:t>
      </w:r>
      <w:r w:rsidR="00455636">
        <w:rPr>
          <w:rFonts w:ascii="Book Antiqua" w:hAnsi="Book Antiqua" w:cs="Helvetica"/>
          <w:lang w:val="en-US"/>
        </w:rPr>
        <w:t xml:space="preserve"> of course</w:t>
      </w:r>
      <w:r w:rsidR="0053217A" w:rsidRPr="00452310">
        <w:rPr>
          <w:rFonts w:ascii="Book Antiqua" w:hAnsi="Book Antiqua" w:cs="Helvetica"/>
          <w:lang w:val="en-US"/>
        </w:rPr>
        <w:t xml:space="preserve"> leaves open the possibility that there could be breastfeeding information, breastfeeding support and even b</w:t>
      </w:r>
      <w:r w:rsidR="00455636">
        <w:rPr>
          <w:rFonts w:ascii="Book Antiqua" w:hAnsi="Book Antiqua" w:cs="Helvetica"/>
          <w:lang w:val="en-US"/>
        </w:rPr>
        <w:t xml:space="preserve">reastfeeding promotion efforts, </w:t>
      </w:r>
      <w:r w:rsidR="0053217A" w:rsidRPr="00452310">
        <w:rPr>
          <w:rFonts w:ascii="Book Antiqua" w:hAnsi="Book Antiqua" w:cs="Helvetica"/>
          <w:lang w:val="en-US"/>
        </w:rPr>
        <w:t>that lack these objectifying features.</w:t>
      </w:r>
      <w:r>
        <w:rPr>
          <w:rFonts w:ascii="Book Antiqua" w:hAnsi="Book Antiqua" w:cs="Helvetica"/>
          <w:lang w:val="en-US"/>
        </w:rPr>
        <w:t xml:space="preserve"> It is not breastfeeding</w:t>
      </w:r>
      <w:r w:rsidR="00223366">
        <w:rPr>
          <w:rFonts w:ascii="Book Antiqua" w:hAnsi="Book Antiqua" w:cs="Helvetica"/>
          <w:lang w:val="en-US"/>
        </w:rPr>
        <w:t>, or support of breastfeeding,</w:t>
      </w:r>
      <w:r>
        <w:rPr>
          <w:rFonts w:ascii="Book Antiqua" w:hAnsi="Book Antiqua" w:cs="Helvetica"/>
          <w:lang w:val="en-US"/>
        </w:rPr>
        <w:t xml:space="preserve"> that is the problem, but, to borrow Kukla’s words again, the </w:t>
      </w:r>
      <w:r w:rsidRPr="00D801A0">
        <w:rPr>
          <w:rFonts w:ascii="Book Antiqua" w:hAnsi="Book Antiqua" w:cs="Helvetica"/>
        </w:rPr>
        <w:t xml:space="preserve">“cultural imaginary </w:t>
      </w:r>
      <w:r>
        <w:rPr>
          <w:rFonts w:ascii="Book Antiqua" w:hAnsi="Book Antiqua" w:cs="Helvetica"/>
        </w:rPr>
        <w:t>[that]</w:t>
      </w:r>
      <w:r w:rsidRPr="00D801A0">
        <w:rPr>
          <w:rFonts w:ascii="Book Antiqua" w:hAnsi="Book Antiqua" w:cs="Helvetica"/>
        </w:rPr>
        <w:t xml:space="preserve"> insists that we allow infant</w:t>
      </w:r>
      <w:r>
        <w:rPr>
          <w:rFonts w:ascii="Book Antiqua" w:hAnsi="Book Antiqua" w:cs="Helvetica"/>
        </w:rPr>
        <w:t xml:space="preserve">s to consume our bodies, and … </w:t>
      </w:r>
      <w:r w:rsidRPr="00D801A0">
        <w:rPr>
          <w:rFonts w:ascii="Book Antiqua" w:hAnsi="Book Antiqua" w:cs="Helvetica"/>
        </w:rPr>
        <w:t>denies us the moral standing to feel that we should be able to limit or control this consumptive relationship.”</w:t>
      </w:r>
      <w:r>
        <w:rPr>
          <w:rStyle w:val="FootnoteReference"/>
          <w:rFonts w:ascii="Book Antiqua" w:hAnsi="Book Antiqua" w:cs="Helvetica"/>
        </w:rPr>
        <w:footnoteReference w:id="37"/>
      </w:r>
      <w:r w:rsidR="00154AC5">
        <w:rPr>
          <w:rFonts w:ascii="Book Antiqua" w:hAnsi="Book Antiqua" w:cs="Helvetica"/>
        </w:rPr>
        <w:t xml:space="preserve">  It is this way of understanding breastfeeding, and the Model of Motherhood more generally, which involves violability, reduction to body and ownership. </w:t>
      </w:r>
      <w:r>
        <w:rPr>
          <w:rFonts w:ascii="Book Antiqua" w:hAnsi="Book Antiqua" w:cs="Helvetica"/>
          <w:lang w:val="en-US"/>
        </w:rPr>
        <w:t xml:space="preserve"> </w:t>
      </w:r>
      <w:r w:rsidR="00452310">
        <w:rPr>
          <w:rFonts w:ascii="Book Antiqua" w:hAnsi="Book Antiqua" w:cs="Helvetica"/>
          <w:lang w:val="en-US"/>
        </w:rPr>
        <w:t xml:space="preserve"> </w:t>
      </w:r>
    </w:p>
    <w:p w14:paraId="2F4CB0DE" w14:textId="54E05268" w:rsidR="00F0484F" w:rsidRPr="00E30647" w:rsidRDefault="000F7FD8" w:rsidP="00154AC5">
      <w:pPr>
        <w:spacing w:line="360" w:lineRule="auto"/>
        <w:jc w:val="both"/>
        <w:rPr>
          <w:rFonts w:ascii="Book Antiqua" w:hAnsi="Book Antiqua" w:cs="Helvetica"/>
          <w:lang w:val="en-US"/>
        </w:rPr>
      </w:pPr>
      <w:r>
        <w:rPr>
          <w:rFonts w:ascii="Book Antiqua" w:hAnsi="Book Antiqua" w:cs="Helvetica"/>
          <w:lang w:val="en-US"/>
        </w:rPr>
        <w:t xml:space="preserve">  </w:t>
      </w:r>
    </w:p>
    <w:p w14:paraId="0A1E3A38" w14:textId="2F2ED3DE" w:rsidR="00176586" w:rsidRDefault="00176586" w:rsidP="00154AC5">
      <w:pPr>
        <w:spacing w:line="360" w:lineRule="auto"/>
        <w:jc w:val="both"/>
        <w:rPr>
          <w:rFonts w:ascii="Book Antiqua" w:hAnsi="Book Antiqua" w:cs="Helvetica"/>
          <w:lang w:val="en-US"/>
        </w:rPr>
      </w:pPr>
      <w:r>
        <w:rPr>
          <w:rFonts w:ascii="Book Antiqua" w:hAnsi="Book Antiqua" w:cs="Helvetica"/>
          <w:i/>
          <w:lang w:val="en-US"/>
        </w:rPr>
        <w:t xml:space="preserve"> Instrumentality</w:t>
      </w:r>
    </w:p>
    <w:p w14:paraId="3CFD7244" w14:textId="476B2109" w:rsidR="004A6E89" w:rsidRDefault="00176586" w:rsidP="00154AC5">
      <w:pPr>
        <w:spacing w:line="360" w:lineRule="auto"/>
        <w:jc w:val="both"/>
        <w:rPr>
          <w:rFonts w:ascii="Book Antiqua" w:hAnsi="Book Antiqua" w:cs="Helvetica"/>
          <w:lang w:val="en-US"/>
        </w:rPr>
      </w:pPr>
      <w:r>
        <w:rPr>
          <w:rFonts w:ascii="Book Antiqua" w:hAnsi="Book Antiqua" w:cs="Helvetica"/>
          <w:lang w:val="en-US"/>
        </w:rPr>
        <w:lastRenderedPageBreak/>
        <w:t xml:space="preserve">The </w:t>
      </w:r>
      <w:r w:rsidR="005E3002">
        <w:rPr>
          <w:rFonts w:ascii="Book Antiqua" w:hAnsi="Book Antiqua" w:cs="Helvetica"/>
          <w:lang w:val="en-US"/>
        </w:rPr>
        <w:t>Model of M</w:t>
      </w:r>
      <w:r>
        <w:rPr>
          <w:rFonts w:ascii="Book Antiqua" w:hAnsi="Book Antiqua" w:cs="Helvetica"/>
          <w:lang w:val="en-US"/>
        </w:rPr>
        <w:t xml:space="preserve">otherhood sees mothers as naturally self-sacrificing.  A mother puts all of </w:t>
      </w:r>
      <w:r w:rsidR="0099347B">
        <w:rPr>
          <w:rFonts w:ascii="Book Antiqua" w:hAnsi="Book Antiqua" w:cs="Helvetica"/>
          <w:lang w:val="en-US"/>
        </w:rPr>
        <w:t>her own needs aside</w:t>
      </w:r>
      <w:r w:rsidR="00154AC5">
        <w:rPr>
          <w:rFonts w:ascii="Book Antiqua" w:hAnsi="Book Antiqua" w:cs="Helvetica"/>
          <w:lang w:val="en-US"/>
        </w:rPr>
        <w:t xml:space="preserve"> for the sake of her child</w:t>
      </w:r>
      <w:r w:rsidR="00B70CAF">
        <w:rPr>
          <w:rFonts w:ascii="Book Antiqua" w:hAnsi="Book Antiqua" w:cs="Helvetica"/>
          <w:lang w:val="en-US"/>
        </w:rPr>
        <w:t>.</w:t>
      </w:r>
      <w:r w:rsidR="0099347B">
        <w:rPr>
          <w:rFonts w:ascii="Book Antiqua" w:hAnsi="Book Antiqua" w:cs="Helvetica"/>
          <w:lang w:val="en-US"/>
        </w:rPr>
        <w:t xml:space="preserve"> </w:t>
      </w:r>
      <w:r w:rsidR="00E1566E">
        <w:rPr>
          <w:rFonts w:ascii="Book Antiqua" w:hAnsi="Book Antiqua" w:cs="Helvetica"/>
          <w:lang w:val="en-US"/>
        </w:rPr>
        <w:t xml:space="preserve">Consider the discussion surrounding drinking in pregnancy.  A consistent </w:t>
      </w:r>
      <w:r w:rsidR="00162269">
        <w:rPr>
          <w:rFonts w:ascii="Book Antiqua" w:hAnsi="Book Antiqua" w:cs="Helvetica"/>
          <w:lang w:val="en-US"/>
        </w:rPr>
        <w:t>refrain in this discussion</w:t>
      </w:r>
      <w:r w:rsidR="00E1566E">
        <w:rPr>
          <w:rFonts w:ascii="Book Antiqua" w:hAnsi="Book Antiqua" w:cs="Helvetica"/>
          <w:lang w:val="en-US"/>
        </w:rPr>
        <w:t xml:space="preserve"> is that, even if there is no evidence that small amounts of alcohol are harmful, pregnant women should obviously abstain.  Again and again, we hear the rhetorical question: “Why take the risk?”</w:t>
      </w:r>
      <w:r w:rsidR="004A6E89">
        <w:rPr>
          <w:rFonts w:ascii="Book Antiqua" w:hAnsi="Book Antiqua" w:cs="Helvetica"/>
          <w:lang w:val="en-US"/>
        </w:rPr>
        <w:t xml:space="preserve">  The CDC recently published guidelines that all pregnant women – and indeed any fertile women – should avoid alcohol completely.</w:t>
      </w:r>
      <w:r w:rsidR="00E1566E">
        <w:rPr>
          <w:rFonts w:ascii="Book Antiqua" w:hAnsi="Book Antiqua" w:cs="Helvetica"/>
          <w:lang w:val="en-US"/>
        </w:rPr>
        <w:t xml:space="preserve"> </w:t>
      </w:r>
      <w:r w:rsidR="004A6E89">
        <w:rPr>
          <w:rFonts w:ascii="Book Antiqua" w:hAnsi="Book Antiqua" w:cs="Helvetica"/>
          <w:lang w:val="en-US"/>
        </w:rPr>
        <w:t>As Kukla commented when interviewed in response “</w:t>
      </w:r>
      <w:r w:rsidR="004A6E89" w:rsidRPr="004A6E89">
        <w:rPr>
          <w:rFonts w:ascii="Book Antiqua" w:hAnsi="Book Antiqua" w:cs="Helvetica"/>
          <w:lang w:val="en-US"/>
        </w:rPr>
        <w:t xml:space="preserve">The idea that the pleasures and routines that make up women’s days are mere luxuries that are not worth any risk whatsoever is patronizing and </w:t>
      </w:r>
      <w:r w:rsidR="004A6E89">
        <w:rPr>
          <w:rFonts w:ascii="Book Antiqua" w:hAnsi="Book Antiqua" w:cs="Helvetica"/>
          <w:lang w:val="en-US"/>
        </w:rPr>
        <w:t>sexist.</w:t>
      </w:r>
      <w:r w:rsidR="004A6E89" w:rsidRPr="004A6E89">
        <w:rPr>
          <w:rFonts w:ascii="Book Antiqua" w:hAnsi="Book Antiqua" w:cs="Helvetica"/>
          <w:lang w:val="en-US"/>
        </w:rPr>
        <w:t>”</w:t>
      </w:r>
      <w:r w:rsidR="004A6E89">
        <w:rPr>
          <w:rStyle w:val="FootnoteReference"/>
          <w:rFonts w:ascii="Book Antiqua" w:hAnsi="Book Antiqua" w:cs="Helvetica"/>
          <w:lang w:val="en-US"/>
        </w:rPr>
        <w:footnoteReference w:id="38"/>
      </w:r>
      <w:r w:rsidR="003413EE">
        <w:rPr>
          <w:rFonts w:ascii="Book Antiqua" w:hAnsi="Book Antiqua" w:cs="Helvetica"/>
          <w:lang w:val="en-US"/>
        </w:rPr>
        <w:t xml:space="preserve">  T</w:t>
      </w:r>
      <w:r w:rsidR="004A6E89">
        <w:rPr>
          <w:rFonts w:ascii="Book Antiqua" w:hAnsi="Book Antiqua" w:cs="Helvetica"/>
          <w:lang w:val="en-US"/>
        </w:rPr>
        <w:t>h</w:t>
      </w:r>
      <w:r w:rsidR="00F96DF5">
        <w:rPr>
          <w:rFonts w:ascii="Book Antiqua" w:hAnsi="Book Antiqua" w:cs="Helvetica"/>
          <w:lang w:val="en-US"/>
        </w:rPr>
        <w:t xml:space="preserve">is idea </w:t>
      </w:r>
      <w:r w:rsidR="003413EE">
        <w:rPr>
          <w:rFonts w:ascii="Book Antiqua" w:hAnsi="Book Antiqua" w:cs="Helvetica"/>
          <w:lang w:val="en-US"/>
        </w:rPr>
        <w:t>is a key</w:t>
      </w:r>
      <w:r w:rsidR="004A6E89">
        <w:rPr>
          <w:rFonts w:ascii="Book Antiqua" w:hAnsi="Book Antiqua" w:cs="Helvetica"/>
          <w:lang w:val="en-US"/>
        </w:rPr>
        <w:t xml:space="preserve"> part of the </w:t>
      </w:r>
      <w:r w:rsidR="00C837EE">
        <w:rPr>
          <w:rFonts w:ascii="Book Antiqua" w:hAnsi="Book Antiqua" w:cs="Helvetica"/>
          <w:lang w:val="en-US"/>
        </w:rPr>
        <w:t>Model of M</w:t>
      </w:r>
      <w:r w:rsidR="004A6E89">
        <w:rPr>
          <w:rFonts w:ascii="Book Antiqua" w:hAnsi="Book Antiqua" w:cs="Helvetica"/>
          <w:lang w:val="en-US"/>
        </w:rPr>
        <w:t>otherhood: the mother should not only be willing, but should be happy to make any sacrifice (no matter how great) for the sake of a</w:t>
      </w:r>
      <w:r w:rsidR="00CA1FA1">
        <w:rPr>
          <w:rFonts w:ascii="Book Antiqua" w:hAnsi="Book Antiqua" w:cs="Helvetica"/>
          <w:lang w:val="en-US"/>
        </w:rPr>
        <w:t>ny pos</w:t>
      </w:r>
      <w:r w:rsidR="00A86104">
        <w:rPr>
          <w:rFonts w:ascii="Book Antiqua" w:hAnsi="Book Antiqua" w:cs="Helvetica"/>
          <w:lang w:val="en-US"/>
        </w:rPr>
        <w:t>sibility of</w:t>
      </w:r>
      <w:r w:rsidR="004A6E89">
        <w:rPr>
          <w:rFonts w:ascii="Book Antiqua" w:hAnsi="Book Antiqua" w:cs="Helvetica"/>
          <w:lang w:val="en-US"/>
        </w:rPr>
        <w:t xml:space="preserve"> benefit</w:t>
      </w:r>
      <w:r w:rsidR="00A86104">
        <w:rPr>
          <w:rFonts w:ascii="Book Antiqua" w:hAnsi="Book Antiqua" w:cs="Helvetica"/>
          <w:lang w:val="en-US"/>
        </w:rPr>
        <w:t>ting</w:t>
      </w:r>
      <w:r w:rsidR="004A6E89">
        <w:rPr>
          <w:rFonts w:ascii="Book Antiqua" w:hAnsi="Book Antiqua" w:cs="Helvetica"/>
          <w:lang w:val="en-US"/>
        </w:rPr>
        <w:t xml:space="preserve"> to her child (no matter how small</w:t>
      </w:r>
      <w:r w:rsidR="00A86104">
        <w:rPr>
          <w:rFonts w:ascii="Book Antiqua" w:hAnsi="Book Antiqua" w:cs="Helvetica"/>
          <w:lang w:val="en-US"/>
        </w:rPr>
        <w:t xml:space="preserve"> either the benefit </w:t>
      </w:r>
      <w:r w:rsidR="00C837EE">
        <w:rPr>
          <w:rFonts w:ascii="Book Antiqua" w:hAnsi="Book Antiqua" w:cs="Helvetica"/>
          <w:lang w:val="en-US"/>
        </w:rPr>
        <w:t xml:space="preserve">in question </w:t>
      </w:r>
      <w:r w:rsidR="00A86104">
        <w:rPr>
          <w:rFonts w:ascii="Book Antiqua" w:hAnsi="Book Antiqua" w:cs="Helvetica"/>
          <w:lang w:val="en-US"/>
        </w:rPr>
        <w:t>or the probability</w:t>
      </w:r>
      <w:r w:rsidR="00C837EE">
        <w:rPr>
          <w:rFonts w:ascii="Book Antiqua" w:hAnsi="Book Antiqua" w:cs="Helvetica"/>
          <w:lang w:val="en-US"/>
        </w:rPr>
        <w:t xml:space="preserve"> that it will be secured by the sacrifice</w:t>
      </w:r>
      <w:r w:rsidR="004A6E89">
        <w:rPr>
          <w:rFonts w:ascii="Book Antiqua" w:hAnsi="Book Antiqua" w:cs="Helvetica"/>
          <w:lang w:val="en-US"/>
        </w:rPr>
        <w:t xml:space="preserve">).  </w:t>
      </w:r>
    </w:p>
    <w:p w14:paraId="37385C8A" w14:textId="056CBE38" w:rsidR="00176586" w:rsidRPr="00E30647" w:rsidRDefault="0099347B" w:rsidP="00154AC5">
      <w:pPr>
        <w:spacing w:line="360" w:lineRule="auto"/>
        <w:ind w:firstLine="720"/>
        <w:jc w:val="both"/>
        <w:rPr>
          <w:rFonts w:ascii="Book Antiqua" w:hAnsi="Book Antiqua" w:cs="Helvetica"/>
          <w:lang w:val="en-US"/>
        </w:rPr>
      </w:pPr>
      <w:r>
        <w:rPr>
          <w:rFonts w:ascii="Book Antiqua" w:hAnsi="Book Antiqua" w:cs="Helvetica"/>
          <w:lang w:val="en-US"/>
        </w:rPr>
        <w:t>T</w:t>
      </w:r>
      <w:r w:rsidR="00B70CAF">
        <w:rPr>
          <w:rFonts w:ascii="Book Antiqua" w:hAnsi="Book Antiqua" w:cs="Helvetica"/>
          <w:lang w:val="en-US"/>
        </w:rPr>
        <w:t>he</w:t>
      </w:r>
      <w:r w:rsidR="00E30647">
        <w:rPr>
          <w:rFonts w:ascii="Book Antiqua" w:hAnsi="Book Antiqua" w:cs="Helvetica"/>
          <w:lang w:val="en-US"/>
        </w:rPr>
        <w:t xml:space="preserve"> </w:t>
      </w:r>
      <w:r w:rsidR="000431C7">
        <w:rPr>
          <w:rFonts w:ascii="Book Antiqua" w:hAnsi="Book Antiqua" w:cs="Helvetica"/>
          <w:lang w:val="en-US"/>
        </w:rPr>
        <w:t>Model of M</w:t>
      </w:r>
      <w:r w:rsidR="00E30647">
        <w:rPr>
          <w:rFonts w:ascii="Book Antiqua" w:hAnsi="Book Antiqua" w:cs="Helvetica"/>
          <w:lang w:val="en-US"/>
        </w:rPr>
        <w:t>otherhood does make</w:t>
      </w:r>
      <w:r w:rsidR="00B70CAF">
        <w:rPr>
          <w:rFonts w:ascii="Book Antiqua" w:hAnsi="Book Antiqua" w:cs="Helvetica"/>
          <w:lang w:val="en-US"/>
        </w:rPr>
        <w:t xml:space="preserve"> reference to the mother’s own happiness.  For</w:t>
      </w:r>
      <w:r w:rsidR="00D85E31">
        <w:rPr>
          <w:rFonts w:ascii="Book Antiqua" w:hAnsi="Book Antiqua" w:cs="Helvetica"/>
          <w:lang w:val="en-US"/>
        </w:rPr>
        <w:t>,</w:t>
      </w:r>
      <w:r w:rsidR="00B70CAF">
        <w:rPr>
          <w:rFonts w:ascii="Book Antiqua" w:hAnsi="Book Antiqua" w:cs="Helvetica"/>
          <w:lang w:val="en-US"/>
        </w:rPr>
        <w:t xml:space="preserve"> according to the </w:t>
      </w:r>
      <w:r w:rsidR="000431C7">
        <w:rPr>
          <w:rFonts w:ascii="Book Antiqua" w:hAnsi="Book Antiqua" w:cs="Helvetica"/>
          <w:lang w:val="en-US"/>
        </w:rPr>
        <w:t>Model of M</w:t>
      </w:r>
      <w:r w:rsidR="00B70CAF">
        <w:rPr>
          <w:rFonts w:ascii="Book Antiqua" w:hAnsi="Book Antiqua" w:cs="Helvetica"/>
          <w:lang w:val="en-US"/>
        </w:rPr>
        <w:t xml:space="preserve">otherhood, this extreme self-sacrifice makes mothers happy.  </w:t>
      </w:r>
      <w:r w:rsidR="00E30647">
        <w:rPr>
          <w:rFonts w:ascii="Book Antiqua" w:hAnsi="Book Antiqua" w:cs="Helvetica"/>
          <w:lang w:val="en-US"/>
        </w:rPr>
        <w:t xml:space="preserve">But the happiness of mothers plays a role only conditionally or instrumentally.  Mothers do what makes themselves happy </w:t>
      </w:r>
      <w:r w:rsidR="00E30647">
        <w:rPr>
          <w:rFonts w:ascii="Book Antiqua" w:hAnsi="Book Antiqua" w:cs="Helvetica"/>
          <w:i/>
          <w:lang w:val="en-US"/>
        </w:rPr>
        <w:t xml:space="preserve">only if </w:t>
      </w:r>
      <w:r w:rsidR="00E30647">
        <w:rPr>
          <w:rFonts w:ascii="Book Antiqua" w:hAnsi="Book Antiqua" w:cs="Helvetica"/>
          <w:lang w:val="en-US"/>
        </w:rPr>
        <w:t xml:space="preserve">what makes them happy is benefitting their children. Sometimes they must be reminded to take a break or think of themselves, but this is normally justified as necessary for the children’s sake: happy </w:t>
      </w:r>
      <w:r w:rsidR="00A44AC2">
        <w:rPr>
          <w:rFonts w:ascii="Book Antiqua" w:hAnsi="Book Antiqua" w:cs="Helvetica"/>
          <w:lang w:val="en-US"/>
        </w:rPr>
        <w:t xml:space="preserve">mothers make happy children.  Both the expectation that mothers should be prepared to make any sacrifice for their children’s good and the treatment of mother’s own happiness as only valuable insofar as it is linked to the happiness of her children involve instrumentalisation of mothers: </w:t>
      </w:r>
      <w:r w:rsidR="00A9609B">
        <w:rPr>
          <w:rFonts w:ascii="Book Antiqua" w:hAnsi="Book Antiqua" w:cs="Helvetica"/>
          <w:lang w:val="en-US"/>
        </w:rPr>
        <w:t>both fail</w:t>
      </w:r>
      <w:r w:rsidR="00A44AC2">
        <w:rPr>
          <w:rFonts w:ascii="Book Antiqua" w:hAnsi="Book Antiqua" w:cs="Helvetica"/>
          <w:lang w:val="en-US"/>
        </w:rPr>
        <w:t xml:space="preserve"> to recognize that the mother is important for her own sake. </w:t>
      </w:r>
      <w:r w:rsidR="00E30647">
        <w:rPr>
          <w:rFonts w:ascii="Book Antiqua" w:hAnsi="Book Antiqua" w:cs="Helvetica"/>
          <w:lang w:val="en-US"/>
        </w:rPr>
        <w:t xml:space="preserve"> </w:t>
      </w:r>
    </w:p>
    <w:p w14:paraId="6D85E5FF" w14:textId="77777777" w:rsidR="00B70CAF" w:rsidRDefault="00B70CAF" w:rsidP="00154AC5">
      <w:pPr>
        <w:spacing w:line="360" w:lineRule="auto"/>
        <w:jc w:val="both"/>
        <w:rPr>
          <w:rFonts w:ascii="Book Antiqua" w:hAnsi="Book Antiqua" w:cs="Helvetica"/>
          <w:iCs/>
          <w:lang w:val="en-US"/>
        </w:rPr>
      </w:pPr>
    </w:p>
    <w:p w14:paraId="498D59D2" w14:textId="430CD874" w:rsidR="00B70CAF" w:rsidRDefault="00B70CAF" w:rsidP="00154AC5">
      <w:pPr>
        <w:spacing w:line="360" w:lineRule="auto"/>
        <w:jc w:val="both"/>
        <w:rPr>
          <w:rFonts w:ascii="Book Antiqua" w:hAnsi="Book Antiqua" w:cs="Helvetica"/>
          <w:iCs/>
          <w:lang w:val="en-US"/>
        </w:rPr>
      </w:pPr>
      <w:r>
        <w:rPr>
          <w:rFonts w:ascii="Book Antiqua" w:hAnsi="Book Antiqua" w:cs="Helvetica"/>
          <w:i/>
          <w:iCs/>
          <w:lang w:val="en-US"/>
        </w:rPr>
        <w:t>Denial of Autonomy</w:t>
      </w:r>
      <w:r w:rsidR="003567C0">
        <w:rPr>
          <w:rFonts w:ascii="Book Antiqua" w:hAnsi="Book Antiqua" w:cs="Helvetica"/>
          <w:i/>
          <w:iCs/>
          <w:lang w:val="en-US"/>
        </w:rPr>
        <w:t xml:space="preserve">, </w:t>
      </w:r>
      <w:r w:rsidR="00162269">
        <w:rPr>
          <w:rFonts w:ascii="Book Antiqua" w:hAnsi="Book Antiqua" w:cs="Helvetica"/>
          <w:i/>
          <w:iCs/>
          <w:lang w:val="en-US"/>
        </w:rPr>
        <w:t>Denial of Subjectivity</w:t>
      </w:r>
      <w:r w:rsidR="003567C0">
        <w:rPr>
          <w:rFonts w:ascii="Book Antiqua" w:hAnsi="Book Antiqua" w:cs="Helvetica"/>
          <w:i/>
          <w:iCs/>
          <w:lang w:val="en-US"/>
        </w:rPr>
        <w:t>, Inertness, Fungibility and Silencing</w:t>
      </w:r>
    </w:p>
    <w:p w14:paraId="66C93558" w14:textId="52B02614" w:rsidR="003567C0" w:rsidRDefault="00B70CAF" w:rsidP="00154AC5">
      <w:pPr>
        <w:spacing w:line="360" w:lineRule="auto"/>
        <w:jc w:val="both"/>
        <w:rPr>
          <w:rFonts w:ascii="Book Antiqua" w:hAnsi="Book Antiqua" w:cs="Helvetica"/>
          <w:iCs/>
          <w:lang w:val="en-US"/>
        </w:rPr>
      </w:pPr>
      <w:r>
        <w:rPr>
          <w:rFonts w:ascii="Book Antiqua" w:hAnsi="Book Antiqua" w:cs="Helvetica"/>
          <w:iCs/>
          <w:lang w:val="en-US"/>
        </w:rPr>
        <w:t xml:space="preserve">On the face of it, the </w:t>
      </w:r>
      <w:r w:rsidR="000431C7">
        <w:rPr>
          <w:rFonts w:ascii="Book Antiqua" w:hAnsi="Book Antiqua" w:cs="Helvetica"/>
          <w:iCs/>
          <w:lang w:val="en-US"/>
        </w:rPr>
        <w:t>Model of M</w:t>
      </w:r>
      <w:r>
        <w:rPr>
          <w:rFonts w:ascii="Book Antiqua" w:hAnsi="Book Antiqua" w:cs="Helvetica"/>
          <w:iCs/>
          <w:lang w:val="en-US"/>
        </w:rPr>
        <w:t xml:space="preserve">otherhood </w:t>
      </w:r>
      <w:r w:rsidR="00E30647">
        <w:rPr>
          <w:rFonts w:ascii="Book Antiqua" w:hAnsi="Book Antiqua" w:cs="Helvetica"/>
          <w:iCs/>
          <w:lang w:val="en-US"/>
        </w:rPr>
        <w:t>affirms the autonomy</w:t>
      </w:r>
      <w:r w:rsidR="00E53758">
        <w:rPr>
          <w:rFonts w:ascii="Book Antiqua" w:hAnsi="Book Antiqua" w:cs="Helvetica"/>
          <w:iCs/>
          <w:lang w:val="en-US"/>
        </w:rPr>
        <w:t xml:space="preserve">, agency, </w:t>
      </w:r>
      <w:r w:rsidR="00162269">
        <w:rPr>
          <w:rFonts w:ascii="Book Antiqua" w:hAnsi="Book Antiqua" w:cs="Helvetica"/>
          <w:iCs/>
          <w:lang w:val="en-US"/>
        </w:rPr>
        <w:t>subjectivity</w:t>
      </w:r>
      <w:r w:rsidR="00E53758">
        <w:rPr>
          <w:rFonts w:ascii="Book Antiqua" w:hAnsi="Book Antiqua" w:cs="Helvetica"/>
          <w:iCs/>
          <w:lang w:val="en-US"/>
        </w:rPr>
        <w:t xml:space="preserve"> and individuality</w:t>
      </w:r>
      <w:r w:rsidR="00E30647">
        <w:rPr>
          <w:rFonts w:ascii="Book Antiqua" w:hAnsi="Book Antiqua" w:cs="Helvetica"/>
          <w:iCs/>
          <w:lang w:val="en-US"/>
        </w:rPr>
        <w:t xml:space="preserve"> of</w:t>
      </w:r>
      <w:r w:rsidR="00162269">
        <w:rPr>
          <w:rFonts w:ascii="Book Antiqua" w:hAnsi="Book Antiqua" w:cs="Helvetica"/>
          <w:iCs/>
          <w:lang w:val="en-US"/>
        </w:rPr>
        <w:t xml:space="preserve"> mothers.  It presents mothers as autonom</w:t>
      </w:r>
      <w:r w:rsidR="005F78E5">
        <w:rPr>
          <w:rFonts w:ascii="Book Antiqua" w:hAnsi="Book Antiqua" w:cs="Helvetica"/>
          <w:iCs/>
          <w:lang w:val="en-US"/>
        </w:rPr>
        <w:t xml:space="preserve">ously choosing to adopt the described role.  </w:t>
      </w:r>
      <w:r w:rsidR="000431C7">
        <w:rPr>
          <w:rFonts w:ascii="Book Antiqua" w:hAnsi="Book Antiqua" w:cs="Helvetica"/>
          <w:iCs/>
          <w:lang w:val="en-US"/>
        </w:rPr>
        <w:t>We</w:t>
      </w:r>
      <w:r w:rsidR="005F78E5">
        <w:rPr>
          <w:rFonts w:ascii="Book Antiqua" w:hAnsi="Book Antiqua" w:cs="Helvetica"/>
          <w:iCs/>
          <w:lang w:val="en-US"/>
        </w:rPr>
        <w:t xml:space="preserve"> also </w:t>
      </w:r>
      <w:r w:rsidR="000431C7">
        <w:rPr>
          <w:rFonts w:ascii="Book Antiqua" w:hAnsi="Book Antiqua" w:cs="Helvetica"/>
          <w:iCs/>
          <w:lang w:val="en-US"/>
        </w:rPr>
        <w:t>see repeated references</w:t>
      </w:r>
      <w:r w:rsidR="005F78E5">
        <w:rPr>
          <w:rFonts w:ascii="Book Antiqua" w:hAnsi="Book Antiqua" w:cs="Helvetica"/>
          <w:iCs/>
          <w:lang w:val="en-US"/>
        </w:rPr>
        <w:t xml:space="preserve"> to what new mothers will feel</w:t>
      </w:r>
      <w:r w:rsidR="00D85E31">
        <w:rPr>
          <w:rFonts w:ascii="Book Antiqua" w:hAnsi="Book Antiqua" w:cs="Helvetica"/>
          <w:iCs/>
          <w:lang w:val="en-US"/>
        </w:rPr>
        <w:t>:</w:t>
      </w:r>
      <w:r w:rsidR="005F78E5">
        <w:rPr>
          <w:rFonts w:ascii="Book Antiqua" w:hAnsi="Book Antiqua" w:cs="Helvetica"/>
          <w:iCs/>
          <w:lang w:val="en-US"/>
        </w:rPr>
        <w:t xml:space="preserve"> the almost orgasmic (but</w:t>
      </w:r>
      <w:r w:rsidR="00254038">
        <w:rPr>
          <w:rFonts w:ascii="Book Antiqua" w:hAnsi="Book Antiqua" w:cs="Helvetica"/>
          <w:iCs/>
          <w:lang w:val="en-US"/>
        </w:rPr>
        <w:t>,</w:t>
      </w:r>
      <w:r w:rsidR="005F78E5">
        <w:rPr>
          <w:rFonts w:ascii="Book Antiqua" w:hAnsi="Book Antiqua" w:cs="Helvetica"/>
          <w:iCs/>
          <w:lang w:val="en-US"/>
        </w:rPr>
        <w:t xml:space="preserve"> </w:t>
      </w:r>
      <w:r w:rsidR="00254038">
        <w:rPr>
          <w:rFonts w:ascii="Book Antiqua" w:hAnsi="Book Antiqua" w:cs="Helvetica"/>
          <w:iCs/>
          <w:lang w:val="en-US"/>
        </w:rPr>
        <w:t xml:space="preserve">it is stressed, emphatically </w:t>
      </w:r>
      <w:r w:rsidR="005F78E5">
        <w:rPr>
          <w:rFonts w:ascii="Book Antiqua" w:hAnsi="Book Antiqua" w:cs="Helvetica"/>
          <w:iCs/>
          <w:lang w:val="en-US"/>
        </w:rPr>
        <w:t xml:space="preserve">non-sexual) pleasure of </w:t>
      </w:r>
      <w:r w:rsidR="00D85E31">
        <w:rPr>
          <w:rFonts w:ascii="Book Antiqua" w:hAnsi="Book Antiqua" w:cs="Helvetica"/>
          <w:iCs/>
          <w:lang w:val="en-US"/>
        </w:rPr>
        <w:t xml:space="preserve">a good latch; </w:t>
      </w:r>
      <w:r w:rsidR="005F78E5">
        <w:rPr>
          <w:rFonts w:ascii="Book Antiqua" w:hAnsi="Book Antiqua" w:cs="Helvetica"/>
          <w:iCs/>
          <w:lang w:val="en-US"/>
        </w:rPr>
        <w:t>the satisfaction o</w:t>
      </w:r>
      <w:r w:rsidR="00CF461F">
        <w:rPr>
          <w:rFonts w:ascii="Book Antiqua" w:hAnsi="Book Antiqua" w:cs="Helvetica"/>
          <w:iCs/>
          <w:lang w:val="en-US"/>
        </w:rPr>
        <w:t>f seeing their baby grow sturd</w:t>
      </w:r>
      <w:r w:rsidR="00D85E31">
        <w:rPr>
          <w:rFonts w:ascii="Book Antiqua" w:hAnsi="Book Antiqua" w:cs="Helvetica"/>
          <w:iCs/>
          <w:lang w:val="en-US"/>
        </w:rPr>
        <w:t>y on mother’s milk;</w:t>
      </w:r>
      <w:r w:rsidR="005F78E5">
        <w:rPr>
          <w:rFonts w:ascii="Book Antiqua" w:hAnsi="Book Antiqua" w:cs="Helvetica"/>
          <w:iCs/>
          <w:lang w:val="en-US"/>
        </w:rPr>
        <w:t xml:space="preserve"> the discomfort </w:t>
      </w:r>
      <w:r w:rsidR="00444EC6">
        <w:rPr>
          <w:rFonts w:ascii="Book Antiqua" w:hAnsi="Book Antiqua" w:cs="Helvetica"/>
          <w:iCs/>
          <w:lang w:val="en-US"/>
        </w:rPr>
        <w:t>in the event of separation.</w:t>
      </w:r>
      <w:r w:rsidR="00B120BD">
        <w:rPr>
          <w:rFonts w:ascii="Book Antiqua" w:hAnsi="Book Antiqua" w:cs="Helvetica"/>
          <w:iCs/>
          <w:lang w:val="en-US"/>
        </w:rPr>
        <w:t xml:space="preserve">  These maternal feelings are taken to be both valuable and epistemically significant: the mother’s desire to be with her baby is both a response to, and a sign of, the fact that babies need their mothers.</w:t>
      </w:r>
      <w:r w:rsidR="003567C0">
        <w:rPr>
          <w:rFonts w:ascii="Book Antiqua" w:hAnsi="Book Antiqua" w:cs="Helvetica"/>
          <w:iCs/>
          <w:lang w:val="en-US"/>
        </w:rPr>
        <w:t xml:space="preserve">  </w:t>
      </w:r>
    </w:p>
    <w:p w14:paraId="1E06E25F" w14:textId="3F4D37B2" w:rsidR="003567C0" w:rsidRDefault="003567C0" w:rsidP="00154AC5">
      <w:pPr>
        <w:spacing w:line="360" w:lineRule="auto"/>
        <w:ind w:firstLine="720"/>
        <w:jc w:val="both"/>
        <w:rPr>
          <w:rFonts w:ascii="Book Antiqua" w:hAnsi="Book Antiqua" w:cs="Helvetica"/>
          <w:iCs/>
          <w:lang w:val="en-US"/>
        </w:rPr>
      </w:pPr>
      <w:r>
        <w:rPr>
          <w:rFonts w:ascii="Book Antiqua" w:hAnsi="Book Antiqua" w:cs="Helvetica"/>
          <w:iCs/>
          <w:lang w:val="en-US"/>
        </w:rPr>
        <w:t>Far from being treated as lacking in agency, new mothers seem to be s</w:t>
      </w:r>
      <w:r w:rsidR="00C4782C">
        <w:rPr>
          <w:rFonts w:ascii="Book Antiqua" w:hAnsi="Book Antiqua" w:cs="Helvetica"/>
          <w:iCs/>
          <w:lang w:val="en-US"/>
        </w:rPr>
        <w:t>ubject to a kind of hyper-agentialism</w:t>
      </w:r>
      <w:r>
        <w:rPr>
          <w:rFonts w:ascii="Book Antiqua" w:hAnsi="Book Antiqua" w:cs="Helvetica"/>
          <w:iCs/>
          <w:lang w:val="en-US"/>
        </w:rPr>
        <w:t>: the mother’s behaviour is taken to be the single most important factor in determining her child’s current and future well-being.  She is held responsible, and liable for blame and guilt, for her own behaviour – even if constrained by factors such as addiction</w:t>
      </w:r>
      <w:r w:rsidR="00385345">
        <w:rPr>
          <w:rFonts w:ascii="Book Antiqua" w:hAnsi="Book Antiqua" w:cs="Helvetica"/>
          <w:iCs/>
          <w:lang w:val="en-US"/>
        </w:rPr>
        <w:t xml:space="preserve"> or social or economic barriers</w:t>
      </w:r>
      <w:r>
        <w:rPr>
          <w:rFonts w:ascii="Book Antiqua" w:hAnsi="Book Antiqua" w:cs="Helvetica"/>
          <w:iCs/>
          <w:lang w:val="en-US"/>
        </w:rPr>
        <w:t xml:space="preserve"> – for the behaviour of others, for the functioning or non-functioning of her biological processes and for her emotional responses. </w:t>
      </w:r>
    </w:p>
    <w:p w14:paraId="110D02E5" w14:textId="4AB1AC59" w:rsidR="00B70CAF" w:rsidRDefault="003567C0" w:rsidP="00154AC5">
      <w:pPr>
        <w:spacing w:line="360" w:lineRule="auto"/>
        <w:ind w:firstLine="720"/>
        <w:jc w:val="both"/>
        <w:rPr>
          <w:rFonts w:ascii="Book Antiqua" w:hAnsi="Book Antiqua" w:cs="Helvetica"/>
          <w:iCs/>
          <w:lang w:val="en-US"/>
        </w:rPr>
      </w:pPr>
      <w:r>
        <w:rPr>
          <w:rFonts w:ascii="Book Antiqua" w:hAnsi="Book Antiqua" w:cs="Helvetica"/>
          <w:iCs/>
          <w:lang w:val="en-US"/>
        </w:rPr>
        <w:t xml:space="preserve">Far from being fungible, the mother is seen as irreplaceable.  She, and only she, is vital to her infant’s </w:t>
      </w:r>
      <w:r w:rsidR="00832983">
        <w:rPr>
          <w:rFonts w:ascii="Book Antiqua" w:hAnsi="Book Antiqua" w:cs="Helvetica"/>
          <w:iCs/>
          <w:lang w:val="en-US"/>
        </w:rPr>
        <w:t>well-being and happiness.  She is the primary caregiver.  If she breastfeeds (and</w:t>
      </w:r>
      <w:r w:rsidR="000431C7">
        <w:rPr>
          <w:rFonts w:ascii="Book Antiqua" w:hAnsi="Book Antiqua" w:cs="Helvetica"/>
          <w:iCs/>
          <w:lang w:val="en-US"/>
        </w:rPr>
        <w:t>,</w:t>
      </w:r>
      <w:r w:rsidR="00832983">
        <w:rPr>
          <w:rFonts w:ascii="Book Antiqua" w:hAnsi="Book Antiqua" w:cs="Helvetica"/>
          <w:iCs/>
          <w:lang w:val="en-US"/>
        </w:rPr>
        <w:t xml:space="preserve"> </w:t>
      </w:r>
      <w:r w:rsidR="000431C7">
        <w:rPr>
          <w:rFonts w:ascii="Book Antiqua" w:hAnsi="Book Antiqua" w:cs="Helvetica"/>
          <w:iCs/>
          <w:lang w:val="en-US"/>
        </w:rPr>
        <w:t xml:space="preserve">according to the Model of Motherhood, </w:t>
      </w:r>
      <w:r w:rsidR="000C6939">
        <w:rPr>
          <w:rFonts w:ascii="Book Antiqua" w:hAnsi="Book Antiqua" w:cs="Helvetica"/>
          <w:iCs/>
          <w:lang w:val="en-US"/>
        </w:rPr>
        <w:t>a good mother breastfeeds</w:t>
      </w:r>
      <w:r w:rsidR="004E2675">
        <w:rPr>
          <w:rFonts w:ascii="Book Antiqua" w:hAnsi="Book Antiqua" w:cs="Helvetica"/>
          <w:iCs/>
          <w:lang w:val="en-US"/>
        </w:rPr>
        <w:t>!</w:t>
      </w:r>
      <w:r w:rsidR="00832983">
        <w:rPr>
          <w:rFonts w:ascii="Book Antiqua" w:hAnsi="Book Antiqua" w:cs="Helvetica"/>
          <w:iCs/>
          <w:lang w:val="en-US"/>
        </w:rPr>
        <w:t>) then only she can nourish the child.  Even when food is not an issue, the mother is seen as being the b</w:t>
      </w:r>
      <w:r w:rsidR="00D85E31">
        <w:rPr>
          <w:rFonts w:ascii="Book Antiqua" w:hAnsi="Book Antiqua" w:cs="Helvetica"/>
          <w:iCs/>
          <w:lang w:val="en-US"/>
        </w:rPr>
        <w:t>est, or perhaps the only, person</w:t>
      </w:r>
      <w:r w:rsidR="00832983">
        <w:rPr>
          <w:rFonts w:ascii="Book Antiqua" w:hAnsi="Book Antiqua" w:cs="Helvetica"/>
          <w:iCs/>
          <w:lang w:val="en-US"/>
        </w:rPr>
        <w:t xml:space="preserve"> for emotional and practical care.</w:t>
      </w:r>
      <w:r w:rsidR="00832983">
        <w:rPr>
          <w:rStyle w:val="FootnoteReference"/>
          <w:rFonts w:ascii="Book Antiqua" w:hAnsi="Book Antiqua" w:cs="Helvetica"/>
          <w:iCs/>
          <w:lang w:val="en-US"/>
        </w:rPr>
        <w:footnoteReference w:id="39"/>
      </w:r>
      <w:r w:rsidR="00832983">
        <w:rPr>
          <w:rFonts w:ascii="Book Antiqua" w:hAnsi="Book Antiqua" w:cs="Helvetica"/>
          <w:iCs/>
          <w:lang w:val="en-US"/>
        </w:rPr>
        <w:t xml:space="preserve">  </w:t>
      </w:r>
      <w:r>
        <w:rPr>
          <w:rFonts w:ascii="Book Antiqua" w:hAnsi="Book Antiqua" w:cs="Helvetica"/>
          <w:iCs/>
          <w:lang w:val="en-US"/>
        </w:rPr>
        <w:t xml:space="preserve"> </w:t>
      </w:r>
    </w:p>
    <w:p w14:paraId="40FCB3DE" w14:textId="65F55609" w:rsidR="00444EC6" w:rsidRDefault="00444EC6" w:rsidP="00154AC5">
      <w:pPr>
        <w:spacing w:line="360" w:lineRule="auto"/>
        <w:jc w:val="both"/>
        <w:rPr>
          <w:rFonts w:ascii="Book Antiqua" w:hAnsi="Book Antiqua" w:cs="Helvetica"/>
        </w:rPr>
      </w:pPr>
      <w:r>
        <w:rPr>
          <w:rFonts w:ascii="Book Antiqua" w:hAnsi="Book Antiqua" w:cs="Helvetica"/>
          <w:iCs/>
          <w:lang w:val="en-US"/>
        </w:rPr>
        <w:tab/>
      </w:r>
      <w:r w:rsidR="00832983">
        <w:rPr>
          <w:rFonts w:ascii="Book Antiqua" w:hAnsi="Book Antiqua" w:cs="Helvetica"/>
          <w:iCs/>
          <w:lang w:val="en-US"/>
        </w:rPr>
        <w:t xml:space="preserve">However, the way in which the </w:t>
      </w:r>
      <w:r w:rsidR="001A5233">
        <w:rPr>
          <w:rFonts w:ascii="Book Antiqua" w:hAnsi="Book Antiqua" w:cs="Helvetica"/>
          <w:iCs/>
          <w:lang w:val="en-US"/>
        </w:rPr>
        <w:t>Model of M</w:t>
      </w:r>
      <w:r w:rsidR="00832983">
        <w:rPr>
          <w:rFonts w:ascii="Book Antiqua" w:hAnsi="Book Antiqua" w:cs="Helvetica"/>
          <w:iCs/>
          <w:lang w:val="en-US"/>
        </w:rPr>
        <w:t>otherhood affirms the mother’s autonomy, subjectivity, agency and irreplaceability seems to</w:t>
      </w:r>
      <w:r>
        <w:rPr>
          <w:rFonts w:ascii="Book Antiqua" w:hAnsi="Book Antiqua" w:cs="Helvetica"/>
          <w:iCs/>
          <w:lang w:val="en-US"/>
        </w:rPr>
        <w:t xml:space="preserve"> have a lot in common with the autonomy-affirmation in the service of </w:t>
      </w:r>
      <w:r>
        <w:rPr>
          <w:rFonts w:ascii="Book Antiqua" w:hAnsi="Book Antiqua" w:cs="Helvetica"/>
          <w:iCs/>
          <w:lang w:val="en-US"/>
        </w:rPr>
        <w:lastRenderedPageBreak/>
        <w:t xml:space="preserve">autonomy-denial that Langton diagnoses in the Deep Throat case.  As noted in the introduction, the </w:t>
      </w:r>
      <w:r w:rsidR="006865E1">
        <w:rPr>
          <w:rFonts w:ascii="Book Antiqua" w:hAnsi="Book Antiqua" w:cs="Helvetica"/>
          <w:iCs/>
          <w:lang w:val="en-US"/>
        </w:rPr>
        <w:t>Model of M</w:t>
      </w:r>
      <w:r>
        <w:rPr>
          <w:rFonts w:ascii="Book Antiqua" w:hAnsi="Book Antiqua" w:cs="Helvetica"/>
          <w:iCs/>
          <w:lang w:val="en-US"/>
        </w:rPr>
        <w:t xml:space="preserve">otherhood tells women what </w:t>
      </w:r>
      <w:r w:rsidR="00B120BD">
        <w:rPr>
          <w:rFonts w:ascii="Book Antiqua" w:hAnsi="Book Antiqua" w:cs="Helvetica"/>
          <w:iCs/>
          <w:lang w:val="en-US"/>
        </w:rPr>
        <w:t>mothers choose and what mothers feel.  Quoting Kukla again: “</w:t>
      </w:r>
      <w:r w:rsidR="00B120BD">
        <w:rPr>
          <w:rFonts w:ascii="Book Antiqua" w:hAnsi="Book Antiqua" w:cs="Helvetica"/>
        </w:rPr>
        <w:t xml:space="preserve">The rhetoric suggests that if ‘you’ find you </w:t>
      </w:r>
      <w:r w:rsidR="00B120BD" w:rsidRPr="00943096">
        <w:rPr>
          <w:rFonts w:ascii="Book Antiqua" w:hAnsi="Book Antiqua" w:cs="Helvetica"/>
          <w:i/>
        </w:rPr>
        <w:t>do</w:t>
      </w:r>
      <w:r w:rsidR="00B120BD">
        <w:rPr>
          <w:rFonts w:ascii="Book Antiqua" w:hAnsi="Book Antiqua" w:cs="Helvetica"/>
        </w:rPr>
        <w:t xml:space="preserve"> enjoy your night out, the flaw is in your maternality not in their parenting suggestions.”</w:t>
      </w:r>
      <w:r w:rsidR="00B120BD">
        <w:rPr>
          <w:rStyle w:val="FootnoteReference"/>
          <w:rFonts w:ascii="Book Antiqua" w:hAnsi="Book Antiqua" w:cs="Helvetica"/>
        </w:rPr>
        <w:footnoteReference w:id="40"/>
      </w:r>
      <w:r w:rsidR="007424F9">
        <w:rPr>
          <w:rFonts w:ascii="Book Antiqua" w:hAnsi="Book Antiqua" w:cs="Helvetica"/>
        </w:rPr>
        <w:t xml:space="preserve">  To </w:t>
      </w:r>
      <w:r w:rsidR="00B120BD">
        <w:rPr>
          <w:rFonts w:ascii="Book Antiqua" w:hAnsi="Book Antiqua" w:cs="Helvetica"/>
        </w:rPr>
        <w:t xml:space="preserve">have feelings or desires </w:t>
      </w:r>
      <w:r w:rsidR="00D85E31">
        <w:rPr>
          <w:rFonts w:ascii="Book Antiqua" w:hAnsi="Book Antiqua" w:cs="Helvetica"/>
        </w:rPr>
        <w:t>that</w:t>
      </w:r>
      <w:r w:rsidR="00B120BD">
        <w:rPr>
          <w:rFonts w:ascii="Book Antiqua" w:hAnsi="Book Antiqua" w:cs="Helvetica"/>
        </w:rPr>
        <w:t xml:space="preserve"> conflict with those that the </w:t>
      </w:r>
      <w:r w:rsidR="006865E1">
        <w:rPr>
          <w:rFonts w:ascii="Book Antiqua" w:hAnsi="Book Antiqua" w:cs="Helvetica"/>
        </w:rPr>
        <w:t>Model of M</w:t>
      </w:r>
      <w:r w:rsidR="00B120BD">
        <w:rPr>
          <w:rFonts w:ascii="Book Antiqua" w:hAnsi="Book Antiqua" w:cs="Helvetica"/>
        </w:rPr>
        <w:t xml:space="preserve">otherhood ascribes is to be less of a mother.  </w:t>
      </w:r>
      <w:r w:rsidR="00FA0008">
        <w:rPr>
          <w:rFonts w:ascii="Book Antiqua" w:hAnsi="Book Antiqua" w:cs="Helvetica"/>
        </w:rPr>
        <w:t>T</w:t>
      </w:r>
      <w:r w:rsidR="00B120BD">
        <w:rPr>
          <w:rFonts w:ascii="Book Antiqua" w:hAnsi="Book Antiqua" w:cs="Helvetica"/>
        </w:rPr>
        <w:t xml:space="preserve">he </w:t>
      </w:r>
      <w:r w:rsidR="006865E1">
        <w:rPr>
          <w:rFonts w:ascii="Book Antiqua" w:hAnsi="Book Antiqua" w:cs="Helvetica"/>
        </w:rPr>
        <w:t>Model of Motherhood</w:t>
      </w:r>
      <w:r w:rsidR="00B120BD">
        <w:rPr>
          <w:rFonts w:ascii="Book Antiqua" w:hAnsi="Book Antiqua" w:cs="Helvetica"/>
        </w:rPr>
        <w:t xml:space="preserve"> denies the experiences and feelings</w:t>
      </w:r>
      <w:r w:rsidR="003567C0">
        <w:rPr>
          <w:rFonts w:ascii="Book Antiqua" w:hAnsi="Book Antiqua" w:cs="Helvetica"/>
        </w:rPr>
        <w:t>, and constrains the free choices,</w:t>
      </w:r>
      <w:r w:rsidR="00B120BD">
        <w:rPr>
          <w:rFonts w:ascii="Book Antiqua" w:hAnsi="Book Antiqua" w:cs="Helvetica"/>
        </w:rPr>
        <w:t xml:space="preserve"> of any mothers who don’t enjoy breastfeeding, are happy to leave their baby with someone they trust and enjoy a night out, or find that </w:t>
      </w:r>
      <w:r w:rsidR="002154AD">
        <w:rPr>
          <w:rFonts w:ascii="Book Antiqua" w:hAnsi="Book Antiqua" w:cs="Helvetica"/>
        </w:rPr>
        <w:t>they retain non-baby-</w:t>
      </w:r>
      <w:r w:rsidR="00FA0008">
        <w:rPr>
          <w:rFonts w:ascii="Book Antiqua" w:hAnsi="Book Antiqua" w:cs="Helvetica"/>
        </w:rPr>
        <w:t xml:space="preserve">related passions after birth.  It does so, first, by purporting to represent all mothers.  Second, by suggesting that those with different desires and feelings are not true mothers and thus discounting their testimony.  (It thus also involves silencing.) Third, by rewarding the </w:t>
      </w:r>
      <w:r w:rsidR="003567C0">
        <w:rPr>
          <w:rFonts w:ascii="Book Antiqua" w:hAnsi="Book Antiqua" w:cs="Helvetica"/>
        </w:rPr>
        <w:t xml:space="preserve">approved choices and the </w:t>
      </w:r>
      <w:r w:rsidR="00E53758">
        <w:rPr>
          <w:rFonts w:ascii="Book Antiqua" w:hAnsi="Book Antiqua" w:cs="Helvetica"/>
        </w:rPr>
        <w:t>expression of the approved-</w:t>
      </w:r>
      <w:r w:rsidR="00FA0008">
        <w:rPr>
          <w:rFonts w:ascii="Book Antiqua" w:hAnsi="Book Antiqua" w:cs="Helvetica"/>
        </w:rPr>
        <w:t>of feelings and desires</w:t>
      </w:r>
      <w:r w:rsidR="003567C0">
        <w:rPr>
          <w:rFonts w:ascii="Book Antiqua" w:hAnsi="Book Antiqua" w:cs="Helvetica"/>
        </w:rPr>
        <w:t xml:space="preserve"> and sanctioning alternative choices and the expression of alternative feelings</w:t>
      </w:r>
      <w:r w:rsidR="00FA0008">
        <w:rPr>
          <w:rFonts w:ascii="Book Antiqua" w:hAnsi="Book Antiqua" w:cs="Helvetica"/>
        </w:rPr>
        <w:t xml:space="preserve"> thus incentivising mothers to not only say that they have these feelings and desires but also to have them</w:t>
      </w:r>
      <w:r w:rsidR="003567C0">
        <w:rPr>
          <w:rFonts w:ascii="Book Antiqua" w:hAnsi="Book Antiqua" w:cs="Helvetica"/>
        </w:rPr>
        <w:t xml:space="preserve"> and to make the associated choices</w:t>
      </w:r>
      <w:r w:rsidR="00FA0008">
        <w:rPr>
          <w:rFonts w:ascii="Book Antiqua" w:hAnsi="Book Antiqua" w:cs="Helvetica"/>
        </w:rPr>
        <w:t>.</w:t>
      </w:r>
      <w:r w:rsidR="00FA0008">
        <w:rPr>
          <w:rStyle w:val="FootnoteReference"/>
          <w:rFonts w:ascii="Book Antiqua" w:hAnsi="Book Antiqua" w:cs="Helvetica"/>
        </w:rPr>
        <w:footnoteReference w:id="41"/>
      </w:r>
      <w:r w:rsidR="00385345">
        <w:rPr>
          <w:rFonts w:ascii="Book Antiqua" w:hAnsi="Book Antiqua" w:cs="Helvetica"/>
        </w:rPr>
        <w:t xml:space="preserve">  </w:t>
      </w:r>
      <w:r w:rsidR="002E0959">
        <w:rPr>
          <w:rFonts w:ascii="Book Antiqua" w:hAnsi="Book Antiqua" w:cs="Helvetica"/>
        </w:rPr>
        <w:t xml:space="preserve">This way of understanding motherhood also contains a strong element of fungibility.  For while the </w:t>
      </w:r>
      <w:r w:rsidR="001A5233">
        <w:rPr>
          <w:rFonts w:ascii="Book Antiqua" w:hAnsi="Book Antiqua" w:cs="Helvetica"/>
        </w:rPr>
        <w:t>Model of M</w:t>
      </w:r>
      <w:r w:rsidR="002E0959">
        <w:rPr>
          <w:rFonts w:ascii="Book Antiqua" w:hAnsi="Book Antiqua" w:cs="Helvetica"/>
        </w:rPr>
        <w:t>otherhood stresses the mother’s position as the unique person who can tend to her baby’s need</w:t>
      </w:r>
      <w:r w:rsidR="004E2675">
        <w:rPr>
          <w:rFonts w:ascii="Book Antiqua" w:hAnsi="Book Antiqua" w:cs="Helvetica"/>
        </w:rPr>
        <w:t>s</w:t>
      </w:r>
      <w:r w:rsidR="002E0959">
        <w:rPr>
          <w:rFonts w:ascii="Book Antiqua" w:hAnsi="Book Antiqua" w:cs="Helvetica"/>
        </w:rPr>
        <w:t>, it denies that mothers will differ in how they experience motherhood.</w:t>
      </w:r>
    </w:p>
    <w:p w14:paraId="735E628A" w14:textId="2BB97092" w:rsidR="00C4782C" w:rsidRDefault="00C4782C" w:rsidP="00154AC5">
      <w:pPr>
        <w:spacing w:line="360" w:lineRule="auto"/>
        <w:jc w:val="both"/>
        <w:rPr>
          <w:rFonts w:ascii="Book Antiqua" w:hAnsi="Book Antiqua" w:cs="Helvetica"/>
        </w:rPr>
      </w:pPr>
      <w:r>
        <w:rPr>
          <w:rFonts w:ascii="Book Antiqua" w:hAnsi="Book Antiqua" w:cs="Helvetica"/>
        </w:rPr>
        <w:tab/>
        <w:t>I</w:t>
      </w:r>
      <w:r w:rsidR="001B5789">
        <w:rPr>
          <w:rFonts w:ascii="Book Antiqua" w:hAnsi="Book Antiqua" w:cs="Helvetica"/>
        </w:rPr>
        <w:t xml:space="preserve">n similar ways, the over-attribution of agency to mothers may both mask ways in which the agency of mothers is not recognised and curtail the agency of mothers.  Following Kukla, I suggested above that the </w:t>
      </w:r>
      <w:r w:rsidR="006865E1">
        <w:rPr>
          <w:rFonts w:ascii="Book Antiqua" w:hAnsi="Book Antiqua" w:cs="Helvetica"/>
        </w:rPr>
        <w:t>Model of M</w:t>
      </w:r>
      <w:r w:rsidR="001B5789">
        <w:rPr>
          <w:rFonts w:ascii="Book Antiqua" w:hAnsi="Book Antiqua" w:cs="Helvetica"/>
        </w:rPr>
        <w:t xml:space="preserve">otherhood restricts the desires and feelings that mothers are recognised as having: mothers do not have desires to attend classical music concerts, academic conference or board meetings.  This also restricts the type of agency that is recognised as compatible with </w:t>
      </w:r>
      <w:r w:rsidR="001B5789">
        <w:rPr>
          <w:rFonts w:ascii="Book Antiqua" w:hAnsi="Book Antiqua" w:cs="Helvetica"/>
        </w:rPr>
        <w:lastRenderedPageBreak/>
        <w:t>motherhood.</w:t>
      </w:r>
      <w:r w:rsidR="00024946">
        <w:rPr>
          <w:rFonts w:ascii="Book Antiqua" w:hAnsi="Book Antiqua" w:cs="Helvetica"/>
        </w:rPr>
        <w:t xml:space="preserve">  </w:t>
      </w:r>
      <w:r w:rsidR="001209E5">
        <w:rPr>
          <w:rFonts w:ascii="Book Antiqua" w:hAnsi="Book Antiqua" w:cs="Helvetica"/>
        </w:rPr>
        <w:t>Mothers</w:t>
      </w:r>
      <w:r w:rsidR="00024946">
        <w:rPr>
          <w:rFonts w:ascii="Book Antiqua" w:hAnsi="Book Antiqua" w:cs="Helvetica"/>
        </w:rPr>
        <w:t xml:space="preserve"> are not recognised as people who appreciate music, who write papers or who run companies. </w:t>
      </w:r>
      <w:r w:rsidR="0040674C">
        <w:rPr>
          <w:rFonts w:ascii="Book Antiqua" w:hAnsi="Book Antiqua" w:cs="Helvetica"/>
        </w:rPr>
        <w:t xml:space="preserve">  This is one form of inertness: mothers are treated as </w:t>
      </w:r>
      <w:r w:rsidR="004E2675">
        <w:rPr>
          <w:rFonts w:ascii="Book Antiqua" w:hAnsi="Book Antiqua" w:cs="Helvetica"/>
        </w:rPr>
        <w:t>if they do not possess certain valuable</w:t>
      </w:r>
      <w:r w:rsidR="0040674C">
        <w:rPr>
          <w:rFonts w:ascii="Book Antiqua" w:hAnsi="Book Antiqua" w:cs="Helvetica"/>
        </w:rPr>
        <w:t xml:space="preserve"> types of agency. </w:t>
      </w:r>
      <w:r w:rsidR="00024946">
        <w:rPr>
          <w:rFonts w:ascii="Book Antiqua" w:hAnsi="Book Antiqua" w:cs="Helvetica"/>
        </w:rPr>
        <w:t xml:space="preserve"> The agency of mothers is also seriously curtailed by the way in which we hold mothers responsible for behaviour and conditions that may affect their children’s wellbeing.  </w:t>
      </w:r>
      <w:r w:rsidR="009B4011">
        <w:rPr>
          <w:rFonts w:ascii="Book Antiqua" w:hAnsi="Book Antiqua" w:cs="Helvetica"/>
        </w:rPr>
        <w:t>Mothers are often treated as liable for blame, guilt, social or even legal sanctions for beh</w:t>
      </w:r>
      <w:r w:rsidR="00985430">
        <w:rPr>
          <w:rFonts w:ascii="Book Antiqua" w:hAnsi="Book Antiqua" w:cs="Helvetica"/>
        </w:rPr>
        <w:t>aviour and conditions that may a</w:t>
      </w:r>
      <w:r w:rsidR="009B4011">
        <w:rPr>
          <w:rFonts w:ascii="Book Antiqua" w:hAnsi="Book Antiqua" w:cs="Helvetica"/>
        </w:rPr>
        <w:t xml:space="preserve">ffect their children’s wellbeing, even when the mother’s control over the relevant feature is questionable at best. When the sanctions include imprisonment, mothers’ agency can be </w:t>
      </w:r>
      <w:r w:rsidR="00D85E31">
        <w:rPr>
          <w:rFonts w:ascii="Book Antiqua" w:hAnsi="Book Antiqua" w:cs="Helvetica"/>
        </w:rPr>
        <w:t>physically</w:t>
      </w:r>
      <w:r w:rsidR="009B4011">
        <w:rPr>
          <w:rFonts w:ascii="Book Antiqua" w:hAnsi="Book Antiqua" w:cs="Helvetica"/>
        </w:rPr>
        <w:t xml:space="preserve"> constrained.  In other cases, the things that the mother can do are restricted by the threatened sanctions and by the burdens of </w:t>
      </w:r>
      <w:r w:rsidR="002E0959">
        <w:rPr>
          <w:rFonts w:ascii="Book Antiqua" w:hAnsi="Book Antiqua" w:cs="Helvetica"/>
        </w:rPr>
        <w:t>keeping in line.</w:t>
      </w:r>
      <w:r w:rsidR="0040674C">
        <w:rPr>
          <w:rFonts w:ascii="Book Antiqua" w:hAnsi="Book Antiqua" w:cs="Helvetica"/>
        </w:rPr>
        <w:t xml:space="preserve">   Although this may </w:t>
      </w:r>
      <w:r w:rsidR="00985430">
        <w:rPr>
          <w:rFonts w:ascii="Book Antiqua" w:hAnsi="Book Antiqua" w:cs="Helvetica"/>
        </w:rPr>
        <w:t>not exhibit ‘inertness’ as originally</w:t>
      </w:r>
      <w:r w:rsidR="0040674C">
        <w:rPr>
          <w:rFonts w:ascii="Book Antiqua" w:hAnsi="Book Antiqua" w:cs="Helvetica"/>
        </w:rPr>
        <w:t xml:space="preserve"> defined </w:t>
      </w:r>
      <w:r w:rsidR="00985430">
        <w:rPr>
          <w:rFonts w:ascii="Book Antiqua" w:hAnsi="Book Antiqua" w:cs="Helvetica"/>
        </w:rPr>
        <w:t xml:space="preserve">by Nussbaum </w:t>
      </w:r>
      <w:r w:rsidR="0040674C">
        <w:rPr>
          <w:rFonts w:ascii="Book Antiqua" w:hAnsi="Book Antiqua" w:cs="Helvetica"/>
        </w:rPr>
        <w:t xml:space="preserve">– for it does not involve treating women as lacking in agency, it should be recognised as a way of undermining the agency of women and thus as </w:t>
      </w:r>
      <w:r w:rsidR="004E2675">
        <w:rPr>
          <w:rFonts w:ascii="Book Antiqua" w:hAnsi="Book Antiqua" w:cs="Helvetica"/>
        </w:rPr>
        <w:t>relevantly related to inertness.  There is a structural similarity here to Langton’s recognition that some ways of undermining a person’s autonomy involve explicitly affirming that they have autonomy.</w:t>
      </w:r>
    </w:p>
    <w:p w14:paraId="4F58C304" w14:textId="77777777" w:rsidR="00653948" w:rsidRDefault="00653948" w:rsidP="00154AC5">
      <w:pPr>
        <w:spacing w:line="360" w:lineRule="auto"/>
        <w:jc w:val="both"/>
        <w:rPr>
          <w:rFonts w:ascii="Book Antiqua" w:hAnsi="Book Antiqua" w:cs="Helvetica"/>
        </w:rPr>
      </w:pPr>
    </w:p>
    <w:p w14:paraId="1B3E4832" w14:textId="6BE78163" w:rsidR="00653948" w:rsidRDefault="00653948" w:rsidP="00154AC5">
      <w:pPr>
        <w:spacing w:line="360" w:lineRule="auto"/>
        <w:jc w:val="both"/>
        <w:rPr>
          <w:rFonts w:ascii="Book Antiqua" w:hAnsi="Book Antiqua" w:cs="Helvetica"/>
        </w:rPr>
      </w:pPr>
      <w:r>
        <w:rPr>
          <w:rFonts w:ascii="Book Antiqua" w:hAnsi="Book Antiqua" w:cs="Helvetica"/>
          <w:b/>
        </w:rPr>
        <w:t>Objectification and Objectifiers</w:t>
      </w:r>
    </w:p>
    <w:p w14:paraId="3D332938" w14:textId="32F00861" w:rsidR="00653948" w:rsidRDefault="00653948" w:rsidP="00154AC5">
      <w:pPr>
        <w:spacing w:line="360" w:lineRule="auto"/>
        <w:jc w:val="both"/>
        <w:rPr>
          <w:rFonts w:ascii="Book Antiqua" w:hAnsi="Book Antiqua" w:cs="Helvetica"/>
          <w:lang w:val="en-US"/>
        </w:rPr>
      </w:pPr>
      <w:r>
        <w:rPr>
          <w:rFonts w:ascii="Book Antiqua" w:hAnsi="Book Antiqua" w:cs="Helvetica"/>
        </w:rPr>
        <w:t>There is an apparent mismatch between Nussbaum’s description of objectification and the way in which I claim we see objectification in the Model of Motherhood.  Nussbaum’s analysis seem</w:t>
      </w:r>
      <w:r w:rsidR="00286EF2">
        <w:rPr>
          <w:rFonts w:ascii="Book Antiqua" w:hAnsi="Book Antiqua" w:cs="Helvetica"/>
        </w:rPr>
        <w:t>s</w:t>
      </w:r>
      <w:r>
        <w:rPr>
          <w:rFonts w:ascii="Book Antiqua" w:hAnsi="Book Antiqua" w:cs="Helvetica"/>
        </w:rPr>
        <w:t xml:space="preserve"> to suppose that in objectification we have one person treating anot</w:t>
      </w:r>
      <w:r w:rsidR="002353AA">
        <w:rPr>
          <w:rFonts w:ascii="Book Antiqua" w:hAnsi="Book Antiqua" w:cs="Helvetica"/>
        </w:rPr>
        <w:t>her as an object. For Nussbaum</w:t>
      </w:r>
      <w:r>
        <w:rPr>
          <w:rFonts w:ascii="Book Antiqua" w:hAnsi="Book Antiqua" w:cs="Helvetica"/>
        </w:rPr>
        <w:t>, objectification seems to presuppose an objectifier.   For example, she describes denial of autonomy as occurring when “</w:t>
      </w:r>
      <w:r w:rsidRPr="00653948">
        <w:rPr>
          <w:rFonts w:ascii="Book Antiqua" w:hAnsi="Book Antiqua" w:cs="Helvetica"/>
          <w:i/>
        </w:rPr>
        <w:t>t</w:t>
      </w:r>
      <w:r w:rsidRPr="00653948">
        <w:rPr>
          <w:rFonts w:ascii="Book Antiqua" w:hAnsi="Book Antiqua" w:cs="Helvetica"/>
          <w:i/>
          <w:lang w:val="en-US"/>
        </w:rPr>
        <w:t>he objectifier</w:t>
      </w:r>
      <w:r w:rsidRPr="00653948">
        <w:rPr>
          <w:rFonts w:ascii="Book Antiqua" w:hAnsi="Book Antiqua" w:cs="Helvetica"/>
          <w:lang w:val="en-US"/>
        </w:rPr>
        <w:t xml:space="preserve"> treats the object as lacking in autonomy and self-determination.</w:t>
      </w:r>
      <w:r>
        <w:rPr>
          <w:rFonts w:ascii="Book Antiqua" w:hAnsi="Book Antiqua" w:cs="Helvetica"/>
          <w:lang w:val="en-US"/>
        </w:rPr>
        <w:t>”</w:t>
      </w:r>
      <w:r>
        <w:rPr>
          <w:rStyle w:val="FootnoteReference"/>
          <w:rFonts w:ascii="Book Antiqua" w:hAnsi="Book Antiqua" w:cs="Helvetica"/>
          <w:lang w:val="en-US"/>
        </w:rPr>
        <w:footnoteReference w:id="42"/>
      </w:r>
      <w:r>
        <w:rPr>
          <w:rFonts w:ascii="Book Antiqua" w:hAnsi="Book Antiqua" w:cs="Helvetica"/>
          <w:lang w:val="en-US"/>
        </w:rPr>
        <w:t xml:space="preserve">  Instrumentality does not just involve an objectifier but requires the objectifier to “</w:t>
      </w:r>
      <w:r w:rsidRPr="00653948">
        <w:rPr>
          <w:rFonts w:ascii="Book Antiqua" w:hAnsi="Book Antiqua" w:cs="Helvetica"/>
          <w:lang w:val="en-US"/>
        </w:rPr>
        <w:t xml:space="preserve">treats the object as a tool of </w:t>
      </w:r>
      <w:r w:rsidRPr="00653948">
        <w:rPr>
          <w:rFonts w:ascii="Book Antiqua" w:hAnsi="Book Antiqua" w:cs="Helvetica"/>
          <w:i/>
          <w:lang w:val="en-US"/>
        </w:rPr>
        <w:t>his or her</w:t>
      </w:r>
      <w:r w:rsidRPr="00653948">
        <w:rPr>
          <w:rFonts w:ascii="Book Antiqua" w:hAnsi="Book Antiqua" w:cs="Helvetica"/>
          <w:lang w:val="en-US"/>
        </w:rPr>
        <w:t xml:space="preserve"> purposes.</w:t>
      </w:r>
      <w:r>
        <w:rPr>
          <w:rFonts w:ascii="Book Antiqua" w:hAnsi="Book Antiqua" w:cs="Helvetica"/>
          <w:lang w:val="en-US"/>
        </w:rPr>
        <w:t>”</w:t>
      </w:r>
      <w:r>
        <w:rPr>
          <w:rStyle w:val="FootnoteReference"/>
          <w:rFonts w:ascii="Book Antiqua" w:hAnsi="Book Antiqua" w:cs="Helvetica"/>
          <w:lang w:val="en-US"/>
        </w:rPr>
        <w:footnoteReference w:id="43"/>
      </w:r>
      <w:r w:rsidR="003F23A0">
        <w:rPr>
          <w:rFonts w:ascii="Book Antiqua" w:hAnsi="Book Antiqua" w:cs="Helvetica"/>
          <w:lang w:val="en-US"/>
        </w:rPr>
        <w:t xml:space="preserve">  But if the Model of Motherhood involves objectification, it is </w:t>
      </w:r>
      <w:r w:rsidR="003F23A0">
        <w:rPr>
          <w:rFonts w:ascii="Book Antiqua" w:hAnsi="Book Antiqua" w:cs="Helvetica"/>
          <w:lang w:val="en-US"/>
        </w:rPr>
        <w:lastRenderedPageBreak/>
        <w:t>not, or not mainly, through specific individuals treating mothers as objects.</w:t>
      </w:r>
      <w:r w:rsidR="000D1A95">
        <w:rPr>
          <w:rStyle w:val="FootnoteReference"/>
          <w:rFonts w:ascii="Book Antiqua" w:hAnsi="Book Antiqua" w:cs="Helvetica"/>
          <w:lang w:val="en-US"/>
        </w:rPr>
        <w:footnoteReference w:id="44"/>
      </w:r>
      <w:r w:rsidR="003F23A0">
        <w:rPr>
          <w:rFonts w:ascii="Book Antiqua" w:hAnsi="Book Antiqua" w:cs="Helvetica"/>
          <w:lang w:val="en-US"/>
        </w:rPr>
        <w:t xml:space="preserve">  I have claimed that the Model of Motherhood involves instrumentality insofar as the mother’s desires and wellbeing are only seen as important insofar as they benefit the child.  If this treats mothers as tools for another’s purposes, it might seem as if they are treated as tools for the child’s purposes.  Yet I certainly do not want to argue that the objectionable objectification involved in the Model of Motherhood is performed by children.</w:t>
      </w:r>
    </w:p>
    <w:p w14:paraId="7EBAED49" w14:textId="77777777" w:rsidR="00A45D5D" w:rsidRDefault="00B3137C" w:rsidP="00154AC5">
      <w:pPr>
        <w:spacing w:line="360" w:lineRule="auto"/>
        <w:jc w:val="both"/>
        <w:rPr>
          <w:rFonts w:ascii="Book Antiqua" w:hAnsi="Book Antiqua" w:cs="Helvetica"/>
          <w:lang w:val="en-US"/>
        </w:rPr>
      </w:pPr>
      <w:r>
        <w:rPr>
          <w:rFonts w:ascii="Book Antiqua" w:hAnsi="Book Antiqua" w:cs="Helvetica"/>
          <w:lang w:val="en-US"/>
        </w:rPr>
        <w:tab/>
        <w:t>I take it that the objectification involved in the Model of Motherhood is so harmful in part because it is objectification that does not require any individual to do the objectifying.  Consider Sandra Lee Bar</w:t>
      </w:r>
      <w:r w:rsidR="00BC6209">
        <w:rPr>
          <w:rFonts w:ascii="Book Antiqua" w:hAnsi="Book Antiqua" w:cs="Helvetica"/>
          <w:lang w:val="en-US"/>
        </w:rPr>
        <w:t>t</w:t>
      </w:r>
      <w:r>
        <w:rPr>
          <w:rFonts w:ascii="Book Antiqua" w:hAnsi="Book Antiqua" w:cs="Helvetica"/>
          <w:lang w:val="en-US"/>
        </w:rPr>
        <w:t>kly’s account of feminine body discipline: the way in which women’s body</w:t>
      </w:r>
      <w:r w:rsidR="00BC6209">
        <w:rPr>
          <w:rFonts w:ascii="Book Antiqua" w:hAnsi="Book Antiqua" w:cs="Helvetica"/>
          <w:lang w:val="en-US"/>
        </w:rPr>
        <w:t>, posture, and gestures are constrained.  Lee notes:</w:t>
      </w:r>
      <w:r w:rsidR="00BC6209" w:rsidRPr="00BC6209">
        <w:rPr>
          <w:rFonts w:ascii="Book Antiqua" w:hAnsi="Book Antiqua" w:cs="Times"/>
          <w:color w:val="141414"/>
          <w:lang w:val="en-US"/>
        </w:rPr>
        <w:t xml:space="preserve"> “</w:t>
      </w:r>
      <w:r w:rsidR="00BC6209" w:rsidRPr="00BC6209">
        <w:rPr>
          <w:rFonts w:ascii="Book Antiqua" w:hAnsi="Book Antiqua" w:cs="Helvetica"/>
          <w:lang w:val="en-US"/>
        </w:rPr>
        <w:t>The disciplinary power that inscribes femininity in the female body is everywhere and it is nowhere; the disciplinarian is everyone and yet no one in particular</w:t>
      </w:r>
      <w:r w:rsidR="00BC6209">
        <w:rPr>
          <w:rFonts w:ascii="Book Antiqua" w:hAnsi="Book Antiqua" w:cs="Helvetica"/>
          <w:lang w:val="en-US"/>
        </w:rPr>
        <w:t>.”</w:t>
      </w:r>
      <w:r w:rsidR="00BC6209">
        <w:rPr>
          <w:rStyle w:val="FootnoteReference"/>
          <w:rFonts w:ascii="Book Antiqua" w:hAnsi="Book Antiqua" w:cs="Helvetica"/>
          <w:lang w:val="en-US"/>
        </w:rPr>
        <w:footnoteReference w:id="45"/>
      </w:r>
      <w:r w:rsidR="00BC6209">
        <w:rPr>
          <w:rFonts w:ascii="Book Antiqua" w:hAnsi="Book Antiqua" w:cs="Helvetica"/>
          <w:lang w:val="en-US"/>
        </w:rPr>
        <w:t xml:space="preserve"> On Bartky’s picture, the power that pushes women to conform to the standard’s of femininity is widely dispersed and anonymous.  It is seen in the friends and causal aquaintances who tell overweight women that they would be pretty </w:t>
      </w:r>
      <w:r w:rsidR="00BC6209">
        <w:rPr>
          <w:rFonts w:ascii="Book Antiqua" w:hAnsi="Book Antiqua" w:cs="Helvetica"/>
          <w:i/>
          <w:lang w:val="en-US"/>
        </w:rPr>
        <w:t>if only they lost weight</w:t>
      </w:r>
      <w:r w:rsidR="00D05167">
        <w:rPr>
          <w:rFonts w:ascii="Book Antiqua" w:hAnsi="Book Antiqua" w:cs="Helvetica"/>
          <w:i/>
          <w:lang w:val="en-US"/>
        </w:rPr>
        <w:t xml:space="preserve">, </w:t>
      </w:r>
      <w:r w:rsidR="00D05167">
        <w:rPr>
          <w:rFonts w:ascii="Book Antiqua" w:hAnsi="Book Antiqua" w:cs="Helvetica"/>
          <w:lang w:val="en-US"/>
        </w:rPr>
        <w:t>in the admonishments of parents and teachers to be ladylike, in the messages about female bodies as spectacles in the media and in the advice of beauty experts.</w:t>
      </w:r>
      <w:r w:rsidR="00D05167">
        <w:rPr>
          <w:rStyle w:val="FootnoteReference"/>
          <w:rFonts w:ascii="Book Antiqua" w:hAnsi="Book Antiqua" w:cs="Helvetica"/>
          <w:lang w:val="en-US"/>
        </w:rPr>
        <w:footnoteReference w:id="46"/>
      </w:r>
      <w:r w:rsidR="00D05167">
        <w:rPr>
          <w:rFonts w:ascii="Book Antiqua" w:hAnsi="Book Antiqua" w:cs="Helvetica"/>
          <w:lang w:val="en-US"/>
        </w:rPr>
        <w:t xml:space="preserve">  The objectification involved in the Model of Motherhood works in a similar way. The Model of Motherhood objectifies mothers by providing an influential – indeed pervasive – way of understanding mothers, a model of what (good) mothers are, feel and do that is used as a standard by which real mothers are measured.</w:t>
      </w:r>
      <w:r w:rsidR="00350B17">
        <w:rPr>
          <w:rFonts w:ascii="Book Antiqua" w:hAnsi="Book Antiqua" w:cs="Helvetica"/>
          <w:lang w:val="en-US"/>
        </w:rPr>
        <w:t xml:space="preserve">  This model of motherhood is seen in adverts for baby food, for washing power and for Mother’s Day cards.  It is presupposed in the judgments about formula feeding on social media and in the laws that govern and restrict pregnant bodies.  It is reflected in </w:t>
      </w:r>
      <w:r w:rsidR="00350B17">
        <w:rPr>
          <w:rFonts w:ascii="Book Antiqua" w:hAnsi="Book Antiqua" w:cs="Helvetica"/>
          <w:lang w:val="en-US"/>
        </w:rPr>
        <w:lastRenderedPageBreak/>
        <w:t>the guilt that mothers feel for ‘selfishly’ desiring to return to work.</w:t>
      </w:r>
      <w:r w:rsidR="00D05167">
        <w:rPr>
          <w:rFonts w:ascii="Book Antiqua" w:hAnsi="Book Antiqua" w:cs="Helvetica"/>
          <w:lang w:val="en-US"/>
        </w:rPr>
        <w:t xml:space="preserve">  It is this general understanding </w:t>
      </w:r>
      <w:r w:rsidR="00314AE2">
        <w:rPr>
          <w:rFonts w:ascii="Book Antiqua" w:hAnsi="Book Antiqua" w:cs="Helvetica"/>
          <w:lang w:val="en-US"/>
        </w:rPr>
        <w:t>that objectifies mothers.</w:t>
      </w:r>
    </w:p>
    <w:p w14:paraId="3B5A67FE" w14:textId="290F28B5" w:rsidR="00B3137C" w:rsidRDefault="00A45D5D" w:rsidP="00154AC5">
      <w:pPr>
        <w:spacing w:line="360" w:lineRule="auto"/>
        <w:jc w:val="both"/>
        <w:rPr>
          <w:rFonts w:ascii="Book Antiqua" w:hAnsi="Book Antiqua" w:cs="Helvetica"/>
          <w:lang w:val="en-US"/>
        </w:rPr>
      </w:pPr>
      <w:r>
        <w:rPr>
          <w:rFonts w:ascii="Book Antiqua" w:hAnsi="Book Antiqua" w:cs="Helvetica"/>
          <w:lang w:val="en-US"/>
        </w:rPr>
        <w:tab/>
      </w:r>
      <w:r w:rsidR="00A25804">
        <w:rPr>
          <w:rFonts w:ascii="Book Antiqua" w:hAnsi="Book Antiqua" w:cs="Helvetica"/>
          <w:lang w:val="en-US"/>
        </w:rPr>
        <w:t xml:space="preserve">The instrumentality involved in the Model of Motherhood does not straightforwardly involve an objectifier seeing mothers as a mere tool for his or her purposes.  Of course, it might be argued that to require women to sacrifice everything for their children in this way benefits men, or business, or society or some other powerful interest group.  But this would not be necessary for the Model of Motherhood to involve objectionably objectifying instrumentality.  The Model of Motherhood presents the mother as </w:t>
      </w:r>
      <w:r w:rsidR="000D1A95">
        <w:rPr>
          <w:rFonts w:ascii="Book Antiqua" w:hAnsi="Book Antiqua" w:cs="Helvetica"/>
          <w:lang w:val="en-US"/>
        </w:rPr>
        <w:t>lacking the kind of importance in her own right that is appropriate for a person.  The mother’s needs are seen as important onl</w:t>
      </w:r>
      <w:r w:rsidR="00286EF2">
        <w:rPr>
          <w:rFonts w:ascii="Book Antiqua" w:hAnsi="Book Antiqua" w:cs="Helvetica"/>
          <w:lang w:val="en-US"/>
        </w:rPr>
        <w:t xml:space="preserve">y insofar as they relate to </w:t>
      </w:r>
      <w:r w:rsidR="000D1A95">
        <w:rPr>
          <w:rFonts w:ascii="Book Antiqua" w:hAnsi="Book Antiqua" w:cs="Helvetica"/>
          <w:lang w:val="en-US"/>
        </w:rPr>
        <w:t>another’s needs (the welfare of the baby).  This is objectionably instrumentalising in itself – even if it is not the objectifier’s own ends to which the mother’s welfare is subordinated.</w:t>
      </w:r>
    </w:p>
    <w:p w14:paraId="28A7D976" w14:textId="77777777" w:rsidR="007C4001" w:rsidRDefault="007C4001" w:rsidP="00154AC5">
      <w:pPr>
        <w:spacing w:line="360" w:lineRule="auto"/>
        <w:jc w:val="both"/>
        <w:rPr>
          <w:rFonts w:ascii="Book Antiqua" w:hAnsi="Book Antiqua" w:cs="Helvetica"/>
        </w:rPr>
      </w:pPr>
    </w:p>
    <w:p w14:paraId="4A4E461A" w14:textId="37E4432A" w:rsidR="007C4001" w:rsidRDefault="007C4001" w:rsidP="00154AC5">
      <w:pPr>
        <w:spacing w:line="360" w:lineRule="auto"/>
        <w:jc w:val="both"/>
        <w:rPr>
          <w:rFonts w:ascii="Book Antiqua" w:hAnsi="Book Antiqua" w:cs="Helvetica"/>
        </w:rPr>
      </w:pPr>
      <w:r>
        <w:rPr>
          <w:rFonts w:ascii="Book Antiqua" w:hAnsi="Book Antiqua" w:cs="Helvetica"/>
          <w:b/>
        </w:rPr>
        <w:t>Non-Objectionable Objectification</w:t>
      </w:r>
    </w:p>
    <w:p w14:paraId="19E7311A" w14:textId="2F87D1A9" w:rsidR="005B4A46" w:rsidRDefault="00C410CC" w:rsidP="00154AC5">
      <w:pPr>
        <w:spacing w:line="360" w:lineRule="auto"/>
        <w:jc w:val="both"/>
        <w:rPr>
          <w:rFonts w:ascii="Book Antiqua" w:hAnsi="Book Antiqua" w:cs="Helvetica"/>
        </w:rPr>
      </w:pPr>
      <w:r>
        <w:rPr>
          <w:rFonts w:ascii="Book Antiqua" w:hAnsi="Book Antiqua" w:cs="Helvetica"/>
        </w:rPr>
        <w:t xml:space="preserve">I will now discuss </w:t>
      </w:r>
      <w:r w:rsidR="007C4001">
        <w:rPr>
          <w:rFonts w:ascii="Book Antiqua" w:hAnsi="Book Antiqua" w:cs="Helvetica"/>
        </w:rPr>
        <w:t xml:space="preserve">arguments that objectification </w:t>
      </w:r>
      <w:r w:rsidR="00CE5380">
        <w:rPr>
          <w:rFonts w:ascii="Book Antiqua" w:hAnsi="Book Antiqua" w:cs="Helvetica"/>
        </w:rPr>
        <w:t>is</w:t>
      </w:r>
      <w:r w:rsidR="007C4001">
        <w:rPr>
          <w:rFonts w:ascii="Book Antiqua" w:hAnsi="Book Antiqua" w:cs="Helvetica"/>
        </w:rPr>
        <w:t xml:space="preserve"> not</w:t>
      </w:r>
      <w:r w:rsidR="00CE5380">
        <w:rPr>
          <w:rFonts w:ascii="Book Antiqua" w:hAnsi="Book Antiqua" w:cs="Helvetica"/>
        </w:rPr>
        <w:t xml:space="preserve"> always be objectionable but can, on the contrary, be deeply valuable</w:t>
      </w:r>
      <w:r w:rsidR="007C4001">
        <w:rPr>
          <w:rFonts w:ascii="Book Antiqua" w:hAnsi="Book Antiqua" w:cs="Helvetica"/>
        </w:rPr>
        <w:t>.</w:t>
      </w:r>
      <w:r>
        <w:rPr>
          <w:rFonts w:ascii="Book Antiqua" w:hAnsi="Book Antiqua" w:cs="Helvetica"/>
        </w:rPr>
        <w:t xml:space="preserve"> Nussbaum is concerned to analyse the concept of objectification in part because she thinks a clearer understanding of this concept might help us to understand </w:t>
      </w:r>
      <w:r w:rsidR="00CE5380">
        <w:rPr>
          <w:rFonts w:ascii="Book Antiqua" w:hAnsi="Book Antiqua" w:cs="Helvetica"/>
        </w:rPr>
        <w:t>whether objectification is always a bad thing. She concludes that although instrumentality is always morally probl</w:t>
      </w:r>
      <w:r w:rsidR="005B3531">
        <w:rPr>
          <w:rFonts w:ascii="Book Antiqua" w:hAnsi="Book Antiqua" w:cs="Helvetica"/>
        </w:rPr>
        <w:t>ematic, no other</w:t>
      </w:r>
      <w:r w:rsidR="00CE5380">
        <w:rPr>
          <w:rFonts w:ascii="Book Antiqua" w:hAnsi="Book Antiqua" w:cs="Helvetica"/>
        </w:rPr>
        <w:t xml:space="preserve"> item on the list of features of objectification is always morally objectionable.</w:t>
      </w:r>
      <w:r w:rsidR="007C4001">
        <w:rPr>
          <w:rStyle w:val="FootnoteReference"/>
          <w:rFonts w:ascii="Book Antiqua" w:hAnsi="Book Antiqua" w:cs="Helvetica"/>
        </w:rPr>
        <w:footnoteReference w:id="47"/>
      </w:r>
      <w:r w:rsidR="00CE5380">
        <w:rPr>
          <w:rFonts w:ascii="Book Antiqua" w:hAnsi="Book Antiqua" w:cs="Helvetica"/>
        </w:rPr>
        <w:t xml:space="preserve"> Indeed, drawing on the work of D.H. Lawrence, Nussbaum describes a type of sexual encounter </w:t>
      </w:r>
      <w:r w:rsidR="00ED2897">
        <w:rPr>
          <w:rFonts w:ascii="Book Antiqua" w:hAnsi="Book Antiqua" w:cs="Helvetica"/>
        </w:rPr>
        <w:t>involving “</w:t>
      </w:r>
      <w:r w:rsidR="00ED2897" w:rsidRPr="00ED2897">
        <w:rPr>
          <w:rFonts w:ascii="Book Antiqua" w:hAnsi="Book Antiqua" w:cs="Helvetica"/>
          <w:lang w:val="en-US"/>
        </w:rPr>
        <w:t xml:space="preserve">a kind of surrender of </w:t>
      </w:r>
      <w:r w:rsidR="00ED2897">
        <w:rPr>
          <w:rFonts w:ascii="Book Antiqua" w:hAnsi="Book Antiqua" w:cs="Helvetica"/>
          <w:lang w:val="en-US"/>
        </w:rPr>
        <w:t>[one’s]</w:t>
      </w:r>
      <w:r w:rsidR="00ED2897" w:rsidRPr="00ED2897">
        <w:rPr>
          <w:rFonts w:ascii="Book Antiqua" w:hAnsi="Book Antiqua" w:cs="Helvetica"/>
          <w:lang w:val="en-US"/>
        </w:rPr>
        <w:t xml:space="preserve"> own personhood, a kind of yielding abnegation of self-c</w:t>
      </w:r>
      <w:r w:rsidR="005B3531">
        <w:rPr>
          <w:rFonts w:ascii="Book Antiqua" w:hAnsi="Book Antiqua" w:cs="Helvetica"/>
          <w:lang w:val="en-US"/>
        </w:rPr>
        <w:t>ontainment and self-sufficiency</w:t>
      </w:r>
      <w:r w:rsidR="00ED2897">
        <w:rPr>
          <w:rFonts w:ascii="Book Antiqua" w:hAnsi="Book Antiqua" w:cs="Helvetica"/>
          <w:lang w:val="en-US"/>
        </w:rPr>
        <w:t>”</w:t>
      </w:r>
      <w:r w:rsidR="005B4A46">
        <w:rPr>
          <w:rStyle w:val="FootnoteReference"/>
          <w:rFonts w:ascii="Book Antiqua" w:hAnsi="Book Antiqua" w:cs="Helvetica"/>
          <w:lang w:val="en-US"/>
        </w:rPr>
        <w:footnoteReference w:id="48"/>
      </w:r>
      <w:r w:rsidR="005B3531">
        <w:rPr>
          <w:rFonts w:ascii="Book Antiqua" w:hAnsi="Book Antiqua" w:cs="Helvetica"/>
          <w:lang w:val="en-US"/>
        </w:rPr>
        <w:t xml:space="preserve"> which she suggests might be</w:t>
      </w:r>
      <w:r w:rsidR="005B4A46">
        <w:rPr>
          <w:rFonts w:ascii="Book Antiqua" w:hAnsi="Book Antiqua" w:cs="Helvetica"/>
          <w:lang w:val="en-US"/>
        </w:rPr>
        <w:t xml:space="preserve"> “</w:t>
      </w:r>
      <w:r w:rsidR="005B4A46" w:rsidRPr="005B4A46">
        <w:rPr>
          <w:rFonts w:ascii="Book Antiqua" w:hAnsi="Book Antiqua" w:cs="Helvetica"/>
          <w:lang w:val="en-US"/>
        </w:rPr>
        <w:t>a wonderful part of sexual life</w:t>
      </w:r>
      <w:r w:rsidR="005B4A46">
        <w:rPr>
          <w:rFonts w:ascii="Book Antiqua" w:hAnsi="Book Antiqua" w:cs="Helvetica"/>
          <w:lang w:val="en-US"/>
        </w:rPr>
        <w:t>.”</w:t>
      </w:r>
      <w:r w:rsidR="005B4A46">
        <w:rPr>
          <w:rStyle w:val="FootnoteReference"/>
          <w:rFonts w:ascii="Book Antiqua" w:hAnsi="Book Antiqua" w:cs="Helvetica"/>
          <w:lang w:val="en-US"/>
        </w:rPr>
        <w:footnoteReference w:id="49"/>
      </w:r>
      <w:r w:rsidR="005B4A46" w:rsidRPr="005B4A46">
        <w:rPr>
          <w:rFonts w:ascii="Book Antiqua" w:hAnsi="Book Antiqua" w:cs="Helvetica"/>
          <w:vertAlign w:val="superscript"/>
          <w:lang w:val="en-US"/>
        </w:rPr>
        <w:t xml:space="preserve"> </w:t>
      </w:r>
      <w:r w:rsidR="00ED2897">
        <w:rPr>
          <w:rFonts w:ascii="Book Antiqua" w:hAnsi="Book Antiqua" w:cs="Helvetica"/>
          <w:lang w:val="en-US"/>
        </w:rPr>
        <w:t xml:space="preserve"> Leslie Green argues that being treated as </w:t>
      </w:r>
      <w:r w:rsidR="00ED2897">
        <w:rPr>
          <w:rFonts w:ascii="Book Antiqua" w:hAnsi="Book Antiqua" w:cs="Helvetica"/>
          <w:lang w:val="en-US"/>
        </w:rPr>
        <w:lastRenderedPageBreak/>
        <w:t>a tool for the purposes of others might be itself be deeply valuable: “</w:t>
      </w:r>
      <w:r w:rsidR="00ED2897" w:rsidRPr="00ED2897">
        <w:rPr>
          <w:rFonts w:ascii="Book Antiqua" w:hAnsi="Book Antiqua" w:cs="Helvetica"/>
          <w:lang w:val="en-US"/>
        </w:rPr>
        <w:t xml:space="preserve">Most people desperately </w:t>
      </w:r>
      <w:r w:rsidR="00ED2897" w:rsidRPr="00ED2897">
        <w:rPr>
          <w:rFonts w:ascii="Book Antiqua" w:hAnsi="Book Antiqua" w:cs="Helvetica"/>
          <w:i/>
          <w:lang w:val="en-US"/>
        </w:rPr>
        <w:t>want</w:t>
      </w:r>
      <w:r w:rsidR="00ED2897" w:rsidRPr="00ED2897">
        <w:rPr>
          <w:rFonts w:ascii="Book Antiqua" w:hAnsi="Book Antiqua" w:cs="Helvetica"/>
          <w:lang w:val="en-US"/>
        </w:rPr>
        <w:t xml:space="preserve"> to be of use to others, and they come to understand themselves partly through their uses, actual and potential.</w:t>
      </w:r>
      <w:r w:rsidR="00ED2897">
        <w:rPr>
          <w:rFonts w:ascii="Book Antiqua" w:hAnsi="Book Antiqua" w:cs="Helvetica"/>
          <w:lang w:val="en-US"/>
        </w:rPr>
        <w:t>”</w:t>
      </w:r>
      <w:r w:rsidR="00ED2897">
        <w:rPr>
          <w:rStyle w:val="FootnoteReference"/>
          <w:rFonts w:ascii="Book Antiqua" w:hAnsi="Book Antiqua" w:cs="Helvetica"/>
          <w:lang w:val="en-US"/>
        </w:rPr>
        <w:footnoteReference w:id="50"/>
      </w:r>
      <w:r w:rsidR="00ED2897">
        <w:rPr>
          <w:rFonts w:ascii="Book Antiqua" w:hAnsi="Book Antiqua" w:cs="Helvetica"/>
          <w:lang w:val="en-US"/>
        </w:rPr>
        <w:t xml:space="preserve"> </w:t>
      </w:r>
      <w:r w:rsidR="007C4001">
        <w:rPr>
          <w:rFonts w:ascii="Book Antiqua" w:hAnsi="Book Antiqua" w:cs="Helvetica"/>
        </w:rPr>
        <w:t>It might be tempting to think that</w:t>
      </w:r>
      <w:r w:rsidR="007A1B3E">
        <w:rPr>
          <w:rFonts w:ascii="Book Antiqua" w:hAnsi="Book Antiqua" w:cs="Helvetica"/>
        </w:rPr>
        <w:t xml:space="preserve"> </w:t>
      </w:r>
      <w:r w:rsidR="007C4001">
        <w:rPr>
          <w:rFonts w:ascii="Book Antiqua" w:hAnsi="Book Antiqua" w:cs="Helvetica"/>
        </w:rPr>
        <w:t xml:space="preserve">the </w:t>
      </w:r>
      <w:r w:rsidR="00ED2897">
        <w:rPr>
          <w:rFonts w:ascii="Book Antiqua" w:hAnsi="Book Antiqua" w:cs="Helvetica"/>
        </w:rPr>
        <w:t xml:space="preserve">objectification involved in our understanding of motherhood could be </w:t>
      </w:r>
      <w:r w:rsidR="00575B48">
        <w:rPr>
          <w:rFonts w:ascii="Book Antiqua" w:hAnsi="Book Antiqua" w:cs="Helvetica"/>
        </w:rPr>
        <w:t>valuable in the ways described by Nussbaum and Green</w:t>
      </w:r>
      <w:r w:rsidR="007C4001">
        <w:rPr>
          <w:rFonts w:ascii="Book Antiqua" w:hAnsi="Book Antiqua" w:cs="Helvetica"/>
        </w:rPr>
        <w:t>.</w:t>
      </w:r>
      <w:r w:rsidR="00575B48">
        <w:rPr>
          <w:rFonts w:ascii="Book Antiqua" w:hAnsi="Book Antiqua" w:cs="Helvetica"/>
        </w:rPr>
        <w:t xml:space="preserve">  Pregnanc</w:t>
      </w:r>
      <w:r w:rsidR="00E2052E">
        <w:rPr>
          <w:rFonts w:ascii="Book Antiqua" w:hAnsi="Book Antiqua" w:cs="Helvetica"/>
        </w:rPr>
        <w:t xml:space="preserve">y and new motherhood seem to be paradigm example of </w:t>
      </w:r>
      <w:r w:rsidR="00575B48">
        <w:rPr>
          <w:rFonts w:ascii="Book Antiqua" w:hAnsi="Book Antiqua" w:cs="Helvetica"/>
        </w:rPr>
        <w:t>case</w:t>
      </w:r>
      <w:r w:rsidR="00E2052E">
        <w:rPr>
          <w:rFonts w:ascii="Book Antiqua" w:hAnsi="Book Antiqua" w:cs="Helvetica"/>
        </w:rPr>
        <w:t>s</w:t>
      </w:r>
      <w:r w:rsidR="00575B48">
        <w:rPr>
          <w:rFonts w:ascii="Book Antiqua" w:hAnsi="Book Antiqua" w:cs="Helvetica"/>
        </w:rPr>
        <w:t xml:space="preserve"> in which the boundaries between individuals become blurred – and that seems to many to be one of the most amazing things about becoming a parent.  Many mothers find deep satisfaction in being needed</w:t>
      </w:r>
      <w:r w:rsidR="00C64C96">
        <w:rPr>
          <w:rFonts w:ascii="Book Antiqua" w:hAnsi="Book Antiqua" w:cs="Helvetica"/>
        </w:rPr>
        <w:t xml:space="preserve"> by their children.  Indeed, this sense of indispensability can be a central part of what brings meaning to one’s life. I will argue that</w:t>
      </w:r>
      <w:r w:rsidR="006364EC">
        <w:rPr>
          <w:rFonts w:ascii="Book Antiqua" w:hAnsi="Book Antiqua" w:cs="Helvetica"/>
        </w:rPr>
        <w:t xml:space="preserve"> these </w:t>
      </w:r>
      <w:r w:rsidR="00C64C96">
        <w:rPr>
          <w:rFonts w:ascii="Book Antiqua" w:hAnsi="Book Antiqua" w:cs="Helvetica"/>
        </w:rPr>
        <w:t>considerations</w:t>
      </w:r>
      <w:r w:rsidR="006364EC">
        <w:rPr>
          <w:rFonts w:ascii="Book Antiqua" w:hAnsi="Book Antiqua" w:cs="Helvetica"/>
        </w:rPr>
        <w:t xml:space="preserve"> point to some ways in which </w:t>
      </w:r>
      <w:r w:rsidR="006865E1">
        <w:rPr>
          <w:rFonts w:ascii="Book Antiqua" w:hAnsi="Book Antiqua" w:cs="Helvetica"/>
        </w:rPr>
        <w:t>thinking about motherhood might</w:t>
      </w:r>
      <w:r w:rsidR="006364EC">
        <w:rPr>
          <w:rFonts w:ascii="Book Antiqua" w:hAnsi="Book Antiqua" w:cs="Helvetica"/>
        </w:rPr>
        <w:t xml:space="preserve"> cause us to revise our understanding of the types of interaction compatible with human dignity. </w:t>
      </w:r>
      <w:r w:rsidR="006865E1">
        <w:rPr>
          <w:rFonts w:ascii="Book Antiqua" w:hAnsi="Book Antiqua" w:cs="Helvetica"/>
        </w:rPr>
        <w:t xml:space="preserve"> The relationship between a mother and her child or between a pregnant women and her foetus is radically different from </w:t>
      </w:r>
      <w:r w:rsidR="00443A67">
        <w:rPr>
          <w:rFonts w:ascii="Book Antiqua" w:hAnsi="Book Antiqua" w:cs="Helvetica"/>
        </w:rPr>
        <w:t xml:space="preserve">that between two independent persons. </w:t>
      </w:r>
      <w:r w:rsidR="000F4C07">
        <w:rPr>
          <w:rFonts w:ascii="Book Antiqua" w:hAnsi="Book Antiqua" w:cs="Helvetica"/>
        </w:rPr>
        <w:t>It is nonetheless an important aspect of human life.   Thinking about motherhood should lead us to question the assumption that the conditions for human dignity should be modelled on persons conceived as independent beings with firm external boundaries.</w:t>
      </w:r>
      <w:r w:rsidR="006364EC">
        <w:rPr>
          <w:rFonts w:ascii="Book Antiqua" w:hAnsi="Book Antiqua" w:cs="Helvetica"/>
        </w:rPr>
        <w:t xml:space="preserve"> Nonetheless,</w:t>
      </w:r>
      <w:r w:rsidR="00C64C96">
        <w:rPr>
          <w:rFonts w:ascii="Book Antiqua" w:hAnsi="Book Antiqua" w:cs="Helvetica"/>
        </w:rPr>
        <w:t xml:space="preserve"> </w:t>
      </w:r>
      <w:r w:rsidR="00AA3CA1">
        <w:rPr>
          <w:rFonts w:ascii="Book Antiqua" w:hAnsi="Book Antiqua" w:cs="Helvetica"/>
        </w:rPr>
        <w:t xml:space="preserve">I will argue, the Model of Motherhood </w:t>
      </w:r>
      <w:r w:rsidR="00C64C96">
        <w:rPr>
          <w:rFonts w:ascii="Book Antiqua" w:hAnsi="Book Antiqua" w:cs="Helvetica"/>
        </w:rPr>
        <w:t xml:space="preserve">still </w:t>
      </w:r>
      <w:r w:rsidR="00AA3CA1">
        <w:rPr>
          <w:rFonts w:ascii="Book Antiqua" w:hAnsi="Book Antiqua" w:cs="Helvetica"/>
        </w:rPr>
        <w:t xml:space="preserve">involves </w:t>
      </w:r>
      <w:r w:rsidR="00C64C96">
        <w:rPr>
          <w:rFonts w:ascii="Book Antiqua" w:hAnsi="Book Antiqua" w:cs="Helvetica"/>
        </w:rPr>
        <w:t>objec</w:t>
      </w:r>
      <w:r w:rsidR="00AA3CA1">
        <w:rPr>
          <w:rFonts w:ascii="Book Antiqua" w:hAnsi="Book Antiqua" w:cs="Helvetica"/>
        </w:rPr>
        <w:t>tionable objectification</w:t>
      </w:r>
      <w:r w:rsidR="00C64C96">
        <w:rPr>
          <w:rFonts w:ascii="Book Antiqua" w:hAnsi="Book Antiqua" w:cs="Helvetica"/>
        </w:rPr>
        <w:t>.</w:t>
      </w:r>
    </w:p>
    <w:p w14:paraId="3119AE16" w14:textId="4F27D713" w:rsidR="0074151E" w:rsidRDefault="00DB3CAD" w:rsidP="00154AC5">
      <w:pPr>
        <w:spacing w:line="360" w:lineRule="auto"/>
        <w:jc w:val="both"/>
        <w:rPr>
          <w:rFonts w:ascii="Book Antiqua" w:hAnsi="Book Antiqua" w:cs="Helvetica"/>
          <w:lang w:val="en-US"/>
        </w:rPr>
      </w:pPr>
      <w:r>
        <w:rPr>
          <w:rFonts w:ascii="Book Antiqua" w:hAnsi="Book Antiqua" w:cs="Helvetica"/>
        </w:rPr>
        <w:tab/>
        <w:t>The Lawrent</w:t>
      </w:r>
      <w:r w:rsidR="005B4A46">
        <w:rPr>
          <w:rFonts w:ascii="Book Antiqua" w:hAnsi="Book Antiqua" w:cs="Helvetica"/>
        </w:rPr>
        <w:t>ian objectification explored by Nussbaum involves a willing renunciation of individual personhood for the sake of a valuable, primitive, sexual experience.  Nussbaum comments:  “</w:t>
      </w:r>
      <w:r w:rsidR="005B4A46" w:rsidRPr="005B4A46">
        <w:rPr>
          <w:rFonts w:ascii="Book Antiqua" w:hAnsi="Book Antiqua" w:cs="Helvetica"/>
          <w:lang w:val="en-US"/>
        </w:rPr>
        <w:t>The power of sexuality is most authentically experienced, in his view, when the parties do put aside their conscious choice-making, and even their inner life of self-consciousness and articulate thought, and permit themselves to be, in a sense, objectlike,</w:t>
      </w:r>
      <w:r w:rsidR="005B4A46">
        <w:rPr>
          <w:rFonts w:ascii="Book Antiqua" w:hAnsi="Book Antiqua" w:cs="Helvetica"/>
          <w:lang w:val="en-US"/>
        </w:rPr>
        <w:t xml:space="preserve"> natural forces meeting one an</w:t>
      </w:r>
      <w:r w:rsidR="005B4A46" w:rsidRPr="005B4A46">
        <w:rPr>
          <w:rFonts w:ascii="Book Antiqua" w:hAnsi="Book Antiqua" w:cs="Helvetica"/>
          <w:lang w:val="en-US"/>
        </w:rPr>
        <w:t xml:space="preserve">other with what he likes </w:t>
      </w:r>
      <w:r w:rsidR="005B4A46" w:rsidRPr="005B4A46">
        <w:rPr>
          <w:rFonts w:ascii="Book Antiqua" w:hAnsi="Book Antiqua" w:cs="Helvetica"/>
          <w:lang w:val="en-US"/>
        </w:rPr>
        <w:lastRenderedPageBreak/>
        <w:t>to call "blood knowledge.</w:t>
      </w:r>
      <w:r w:rsidR="005B4A46">
        <w:rPr>
          <w:rFonts w:ascii="Book Antiqua" w:hAnsi="Book Antiqua" w:cs="Helvetica"/>
          <w:lang w:val="en-US"/>
        </w:rPr>
        <w:t>”</w:t>
      </w:r>
      <w:r w:rsidR="005B4A46">
        <w:rPr>
          <w:rStyle w:val="FootnoteReference"/>
          <w:rFonts w:ascii="Book Antiqua" w:hAnsi="Book Antiqua" w:cs="Helvetica"/>
          <w:lang w:val="en-US"/>
        </w:rPr>
        <w:footnoteReference w:id="51"/>
      </w:r>
      <w:r w:rsidR="005B4A46" w:rsidRPr="005B4A46">
        <w:rPr>
          <w:rFonts w:ascii="Book Antiqua" w:hAnsi="Book Antiqua" w:cs="Helvetica"/>
          <w:lang w:val="en-US"/>
        </w:rPr>
        <w:t xml:space="preserve"> </w:t>
      </w:r>
      <w:r w:rsidR="005B4A46">
        <w:rPr>
          <w:rFonts w:ascii="Book Antiqua" w:hAnsi="Book Antiqua" w:cs="Helvetica"/>
          <w:lang w:val="en-US"/>
        </w:rPr>
        <w:t xml:space="preserve"> </w:t>
      </w:r>
      <w:r>
        <w:rPr>
          <w:rFonts w:ascii="Book Antiqua" w:hAnsi="Book Antiqua" w:cs="Helvetica"/>
          <w:lang w:val="en-US"/>
        </w:rPr>
        <w:t>As Nussbaum points out, Lawrentian objectification involves five of her se</w:t>
      </w:r>
      <w:r w:rsidR="0074151E">
        <w:rPr>
          <w:rFonts w:ascii="Book Antiqua" w:hAnsi="Book Antiqua" w:cs="Helvetica"/>
          <w:lang w:val="en-US"/>
        </w:rPr>
        <w:t xml:space="preserve">ven features of objectification. </w:t>
      </w:r>
    </w:p>
    <w:p w14:paraId="5E62D1FE" w14:textId="663FD1A8" w:rsidR="00855FC8" w:rsidRDefault="00DB3CAD" w:rsidP="00154AC5">
      <w:pPr>
        <w:spacing w:line="360" w:lineRule="auto"/>
        <w:jc w:val="both"/>
        <w:rPr>
          <w:rFonts w:ascii="Book Antiqua" w:hAnsi="Book Antiqua" w:cs="Helvetica"/>
          <w:lang w:val="en-US"/>
        </w:rPr>
      </w:pPr>
      <w:r w:rsidRPr="000D2FBF">
        <w:rPr>
          <w:rFonts w:ascii="Book Antiqua" w:hAnsi="Book Antiqua" w:cs="Helvetica"/>
          <w:i/>
          <w:iCs/>
          <w:lang w:val="en-US"/>
        </w:rPr>
        <w:t>denial of autonomy</w:t>
      </w:r>
      <w:r w:rsidR="0074151E">
        <w:rPr>
          <w:rFonts w:ascii="Book Antiqua" w:hAnsi="Book Antiqua" w:cs="Helvetica"/>
          <w:i/>
          <w:iCs/>
          <w:lang w:val="en-US"/>
        </w:rPr>
        <w:t xml:space="preserve"> </w:t>
      </w:r>
      <w:r w:rsidR="0074151E">
        <w:rPr>
          <w:rFonts w:ascii="Book Antiqua" w:hAnsi="Book Antiqua" w:cs="Helvetica"/>
          <w:iCs/>
          <w:lang w:val="en-US"/>
        </w:rPr>
        <w:t xml:space="preserve">and </w:t>
      </w:r>
      <w:r w:rsidR="0074151E">
        <w:rPr>
          <w:rFonts w:ascii="Book Antiqua" w:hAnsi="Book Antiqua" w:cs="Helvetica"/>
          <w:i/>
          <w:iCs/>
          <w:lang w:val="en-US"/>
        </w:rPr>
        <w:t xml:space="preserve">denial of </w:t>
      </w:r>
      <w:r w:rsidR="0074151E" w:rsidRPr="0074151E">
        <w:rPr>
          <w:rFonts w:ascii="Book Antiqua" w:hAnsi="Book Antiqua" w:cs="Helvetica"/>
          <w:i/>
          <w:iCs/>
          <w:lang w:val="en-US"/>
        </w:rPr>
        <w:t>subjectivity</w:t>
      </w:r>
      <w:r w:rsidR="0074151E">
        <w:rPr>
          <w:rFonts w:ascii="Book Antiqua" w:hAnsi="Book Antiqua" w:cs="Helvetica"/>
          <w:i/>
          <w:iCs/>
          <w:lang w:val="en-US"/>
        </w:rPr>
        <w:t xml:space="preserve"> </w:t>
      </w:r>
      <w:r w:rsidR="0074151E">
        <w:rPr>
          <w:rFonts w:ascii="Book Antiqua" w:hAnsi="Book Antiqua" w:cs="Helvetica"/>
          <w:iCs/>
          <w:lang w:val="en-US"/>
        </w:rPr>
        <w:t xml:space="preserve"> (“parties put aside their conscious choice making </w:t>
      </w:r>
      <w:r w:rsidR="0074151E" w:rsidRPr="005B4A46">
        <w:rPr>
          <w:rFonts w:ascii="Book Antiqua" w:hAnsi="Book Antiqua" w:cs="Helvetica"/>
          <w:lang w:val="en-US"/>
        </w:rPr>
        <w:t>and even their inner life of self-consciousness and articulate thought</w:t>
      </w:r>
      <w:r w:rsidR="0074151E">
        <w:rPr>
          <w:rFonts w:ascii="Book Antiqua" w:hAnsi="Book Antiqua" w:cs="Helvetica"/>
          <w:iCs/>
          <w:lang w:val="en-US"/>
        </w:rPr>
        <w:t>”</w:t>
      </w:r>
      <w:r w:rsidR="0074151E">
        <w:rPr>
          <w:rStyle w:val="FootnoteReference"/>
          <w:rFonts w:ascii="Book Antiqua" w:hAnsi="Book Antiqua" w:cs="Helvetica"/>
          <w:iCs/>
          <w:lang w:val="en-US"/>
        </w:rPr>
        <w:footnoteReference w:id="52"/>
      </w:r>
      <w:r w:rsidR="0074151E">
        <w:rPr>
          <w:rFonts w:ascii="Book Antiqua" w:hAnsi="Book Antiqua" w:cs="Helvetica"/>
          <w:iCs/>
          <w:lang w:val="en-US"/>
        </w:rPr>
        <w:t>)</w:t>
      </w:r>
      <w:r w:rsidRPr="000D2FBF">
        <w:rPr>
          <w:rFonts w:ascii="Book Antiqua" w:hAnsi="Book Antiqua" w:cs="Helvetica"/>
          <w:lang w:val="en-US"/>
        </w:rPr>
        <w:t>;</w:t>
      </w:r>
      <w:r>
        <w:rPr>
          <w:rFonts w:ascii="Book Antiqua" w:hAnsi="Book Antiqua" w:cs="Helvetica"/>
          <w:lang w:val="en-US"/>
        </w:rPr>
        <w:t xml:space="preserve"> </w:t>
      </w:r>
      <w:r w:rsidRPr="000D2FBF">
        <w:rPr>
          <w:rFonts w:ascii="Book Antiqua" w:hAnsi="Book Antiqua" w:cs="Helvetica"/>
          <w:i/>
          <w:iCs/>
          <w:lang w:val="en-US"/>
        </w:rPr>
        <w:t>inertness</w:t>
      </w:r>
      <w:r w:rsidR="0074151E">
        <w:rPr>
          <w:rFonts w:ascii="Book Antiqua" w:hAnsi="Book Antiqua" w:cs="Helvetica"/>
          <w:iCs/>
          <w:lang w:val="en-US"/>
        </w:rPr>
        <w:t xml:space="preserve"> (“both surrender agency before the power of the blood”</w:t>
      </w:r>
      <w:r w:rsidRPr="000D2FBF">
        <w:rPr>
          <w:rFonts w:ascii="Book Antiqua" w:hAnsi="Book Antiqua" w:cs="Helvetica"/>
          <w:lang w:val="en-US"/>
        </w:rPr>
        <w:t>;</w:t>
      </w:r>
      <w:r>
        <w:rPr>
          <w:rFonts w:ascii="Book Antiqua" w:hAnsi="Book Antiqua" w:cs="Helvetica"/>
          <w:lang w:val="en-US"/>
        </w:rPr>
        <w:t xml:space="preserve"> </w:t>
      </w:r>
      <w:r w:rsidRPr="000D2FBF">
        <w:rPr>
          <w:rFonts w:ascii="Book Antiqua" w:hAnsi="Book Antiqua" w:cs="Helvetica"/>
          <w:i/>
          <w:iCs/>
          <w:lang w:val="en-US"/>
        </w:rPr>
        <w:t>fungibility</w:t>
      </w:r>
      <w:r w:rsidR="0074151E">
        <w:rPr>
          <w:rFonts w:ascii="Book Antiqua" w:hAnsi="Book Antiqua" w:cs="Helvetica"/>
          <w:iCs/>
          <w:lang w:val="en-US"/>
        </w:rPr>
        <w:t xml:space="preserve"> (</w:t>
      </w:r>
      <w:r w:rsidR="006364EC">
        <w:rPr>
          <w:rFonts w:ascii="Book Antiqua" w:hAnsi="Book Antiqua" w:cs="Helvetica"/>
          <w:iCs/>
          <w:lang w:val="en-US"/>
        </w:rPr>
        <w:t>“</w:t>
      </w:r>
      <w:r w:rsidR="0074151E">
        <w:rPr>
          <w:rFonts w:ascii="Book Antiqua" w:hAnsi="Book Antiqua" w:cs="Helvetica"/>
          <w:iCs/>
          <w:lang w:val="en-US"/>
        </w:rPr>
        <w:t>Lydia’s daily qualitative individuality does vanish before his desire, as she becomes an embodiment of something primal”</w:t>
      </w:r>
      <w:r>
        <w:rPr>
          <w:rFonts w:ascii="Book Antiqua" w:hAnsi="Book Antiqua" w:cs="Helvetica"/>
          <w:i/>
          <w:iCs/>
          <w:lang w:val="en-US"/>
        </w:rPr>
        <w:t>;</w:t>
      </w:r>
      <w:r>
        <w:rPr>
          <w:rFonts w:ascii="Book Antiqua" w:hAnsi="Book Antiqua" w:cs="Helvetica"/>
          <w:lang w:val="en-US"/>
        </w:rPr>
        <w:t xml:space="preserve"> </w:t>
      </w:r>
      <w:r w:rsidRPr="000D2FBF">
        <w:rPr>
          <w:rFonts w:ascii="Book Antiqua" w:hAnsi="Book Antiqua" w:cs="Helvetica"/>
          <w:i/>
          <w:iCs/>
          <w:lang w:val="en-US"/>
        </w:rPr>
        <w:t>violability</w:t>
      </w:r>
      <w:r w:rsidR="0074151E">
        <w:rPr>
          <w:rFonts w:ascii="Book Antiqua" w:hAnsi="Book Antiqua" w:cs="Helvetica"/>
          <w:iCs/>
          <w:lang w:val="en-US"/>
        </w:rPr>
        <w:t xml:space="preserve"> (“in the sway of desire he no longer feels himself clearly individuated from her, he feels his boundaries become porous”</w:t>
      </w:r>
      <w:r w:rsidR="0074151E">
        <w:rPr>
          <w:rStyle w:val="FootnoteReference"/>
          <w:rFonts w:ascii="Book Antiqua" w:hAnsi="Book Antiqua" w:cs="Helvetica"/>
          <w:iCs/>
          <w:lang w:val="en-US"/>
        </w:rPr>
        <w:footnoteReference w:id="53"/>
      </w:r>
      <w:r w:rsidR="008604B3">
        <w:rPr>
          <w:rFonts w:ascii="Book Antiqua" w:hAnsi="Book Antiqua" w:cs="Helvetica"/>
          <w:iCs/>
          <w:lang w:val="en-US"/>
        </w:rPr>
        <w:t>)</w:t>
      </w:r>
      <w:r w:rsidR="0074151E">
        <w:rPr>
          <w:rFonts w:ascii="Book Antiqua" w:hAnsi="Book Antiqua" w:cs="Helvetica"/>
          <w:lang w:val="en-US"/>
        </w:rPr>
        <w:t>.</w:t>
      </w:r>
      <w:r w:rsidR="003D01AF">
        <w:rPr>
          <w:rFonts w:ascii="Book Antiqua" w:hAnsi="Book Antiqua" w:cs="Helvetica"/>
          <w:lang w:val="en-US"/>
        </w:rPr>
        <w:t xml:space="preserve">  She </w:t>
      </w:r>
      <w:r w:rsidR="006364EC">
        <w:rPr>
          <w:rFonts w:ascii="Book Antiqua" w:hAnsi="Book Antiqua" w:cs="Helvetica"/>
          <w:lang w:val="en-US"/>
        </w:rPr>
        <w:t xml:space="preserve">also </w:t>
      </w:r>
      <w:r w:rsidR="003D01AF">
        <w:rPr>
          <w:rFonts w:ascii="Book Antiqua" w:hAnsi="Book Antiqua" w:cs="Helvetica"/>
          <w:lang w:val="en-US"/>
        </w:rPr>
        <w:t xml:space="preserve">attributes to it one of the features of objectification added by Langton, </w:t>
      </w:r>
      <w:r w:rsidR="003D01AF">
        <w:rPr>
          <w:rFonts w:ascii="Book Antiqua" w:hAnsi="Book Antiqua" w:cs="Helvetica"/>
          <w:i/>
          <w:lang w:val="en-US"/>
        </w:rPr>
        <w:t>reduction to body</w:t>
      </w:r>
      <w:r w:rsidR="009740CF">
        <w:rPr>
          <w:rFonts w:ascii="Book Antiqua" w:hAnsi="Book Antiqua" w:cs="Helvetica"/>
          <w:lang w:val="en-US"/>
        </w:rPr>
        <w:t xml:space="preserve"> (“</w:t>
      </w:r>
      <w:r w:rsidR="009740CF" w:rsidRPr="009740CF">
        <w:rPr>
          <w:rFonts w:ascii="Book Antiqua" w:hAnsi="Book Antiqua" w:cs="Helvetica"/>
          <w:lang w:val="en-US"/>
        </w:rPr>
        <w:t>a certain type of reduction of persons to their bodily parts, and the attribution of a certain sort of independent agency to the bodily part</w:t>
      </w:r>
      <w:r w:rsidR="009740CF">
        <w:rPr>
          <w:rFonts w:ascii="Book Antiqua" w:hAnsi="Book Antiqua" w:cs="Helvetica"/>
          <w:lang w:val="en-US"/>
        </w:rPr>
        <w:t>”).</w:t>
      </w:r>
      <w:r w:rsidR="009740CF" w:rsidRPr="009740CF">
        <w:rPr>
          <w:rFonts w:ascii="Book Antiqua" w:hAnsi="Book Antiqua" w:cs="Helvetica"/>
          <w:lang w:val="en-US"/>
        </w:rPr>
        <w:t xml:space="preserve"> </w:t>
      </w:r>
      <w:r w:rsidR="003D01AF">
        <w:rPr>
          <w:rFonts w:ascii="Book Antiqua" w:hAnsi="Book Antiqua" w:cs="Helvetica"/>
          <w:lang w:val="en-US"/>
        </w:rPr>
        <w:t>But, Nussb</w:t>
      </w:r>
      <w:r w:rsidR="006364EC">
        <w:rPr>
          <w:rFonts w:ascii="Book Antiqua" w:hAnsi="Book Antiqua" w:cs="Helvetica"/>
          <w:lang w:val="en-US"/>
        </w:rPr>
        <w:t>aum seems to argue, the</w:t>
      </w:r>
      <w:r w:rsidR="003D01AF">
        <w:rPr>
          <w:rFonts w:ascii="Book Antiqua" w:hAnsi="Book Antiqua" w:cs="Helvetica"/>
          <w:lang w:val="en-US"/>
        </w:rPr>
        <w:t xml:space="preserve"> very features which make the behaviour count as objectification, also allow it to be intensely valuable:  “</w:t>
      </w:r>
      <w:r w:rsidR="003D01AF" w:rsidRPr="003D01AF">
        <w:rPr>
          <w:rFonts w:ascii="Book Antiqua" w:hAnsi="Book Antiqua" w:cs="Helvetica"/>
          <w:lang w:val="en-US"/>
        </w:rPr>
        <w:t>The surrender of autonomy and even of agency and subjectivity are joyous, a kind of victorious achievement in the prison-house of English respectability. Such a surrender constitutes an escape from the prison of self-consciousness that, in Lawrence's quite plausible view, seals us off from one another and</w:t>
      </w:r>
      <w:r w:rsidR="003D01AF">
        <w:rPr>
          <w:rFonts w:ascii="Book Antiqua" w:hAnsi="Book Antiqua" w:cs="Helvetica"/>
          <w:lang w:val="en-US"/>
        </w:rPr>
        <w:t xml:space="preserve"> prevents true commu</w:t>
      </w:r>
      <w:r w:rsidR="003D01AF" w:rsidRPr="003D01AF">
        <w:rPr>
          <w:rFonts w:ascii="Book Antiqua" w:hAnsi="Book Antiqua" w:cs="Helvetica"/>
          <w:lang w:val="en-US"/>
        </w:rPr>
        <w:t>nication and true receptivity.</w:t>
      </w:r>
      <w:r w:rsidR="003D01AF">
        <w:rPr>
          <w:rFonts w:ascii="Book Antiqua" w:hAnsi="Book Antiqua" w:cs="Helvetica"/>
          <w:lang w:val="en-US"/>
        </w:rPr>
        <w:t>”</w:t>
      </w:r>
      <w:r w:rsidR="003D01AF">
        <w:rPr>
          <w:rStyle w:val="FootnoteReference"/>
          <w:rFonts w:ascii="Book Antiqua" w:hAnsi="Book Antiqua" w:cs="Helvetica"/>
          <w:lang w:val="en-US"/>
        </w:rPr>
        <w:footnoteReference w:id="54"/>
      </w:r>
    </w:p>
    <w:p w14:paraId="579DC4FE" w14:textId="37ED1B74" w:rsidR="00855FC8" w:rsidRDefault="009740CF" w:rsidP="00154AC5">
      <w:pPr>
        <w:spacing w:line="360" w:lineRule="auto"/>
        <w:jc w:val="both"/>
        <w:rPr>
          <w:rFonts w:ascii="Book Antiqua" w:hAnsi="Book Antiqua" w:cs="Helvetica"/>
          <w:lang w:val="en-US"/>
        </w:rPr>
      </w:pPr>
      <w:r>
        <w:rPr>
          <w:rFonts w:ascii="Book Antiqua" w:hAnsi="Book Antiqua" w:cs="Helvetica"/>
          <w:lang w:val="en-US"/>
        </w:rPr>
        <w:tab/>
        <w:t>There are clear echoes of Lawrentian objectification in our understanding of motherhood.  Motherhood could also be described as a willing renunciation of individual personhood to become a prim</w:t>
      </w:r>
      <w:r w:rsidR="006364EC">
        <w:rPr>
          <w:rFonts w:ascii="Book Antiqua" w:hAnsi="Book Antiqua" w:cs="Helvetica"/>
          <w:lang w:val="en-US"/>
        </w:rPr>
        <w:t>itive force meeting another in “blood knowledge”</w:t>
      </w:r>
      <w:r>
        <w:rPr>
          <w:rFonts w:ascii="Book Antiqua" w:hAnsi="Book Antiqua" w:cs="Helvetica"/>
          <w:lang w:val="en-US"/>
        </w:rPr>
        <w:t>.  Pregnancy and early motherhood might seem like the paradigm case of porous boundaries, as it becomes hard to tell where the baby ends and you begin.  And this might seem to be something wonderful.</w:t>
      </w:r>
    </w:p>
    <w:p w14:paraId="1A77B5CF" w14:textId="20374008" w:rsidR="00E23803" w:rsidRDefault="00E23803" w:rsidP="00154AC5">
      <w:pPr>
        <w:spacing w:line="360" w:lineRule="auto"/>
        <w:jc w:val="both"/>
        <w:rPr>
          <w:rFonts w:ascii="Book Antiqua" w:hAnsi="Book Antiqua" w:cs="Helvetica"/>
          <w:lang w:val="en-US"/>
        </w:rPr>
      </w:pPr>
      <w:r>
        <w:rPr>
          <w:rFonts w:ascii="Book Antiqua" w:hAnsi="Book Antiqua" w:cs="Helvetica"/>
          <w:lang w:val="en-US"/>
        </w:rPr>
        <w:tab/>
        <w:t xml:space="preserve">As well as being ‘joyous’, Lawrentian objectification must meet several other conditions, according to Nussbaum. The most important </w:t>
      </w:r>
      <w:r w:rsidR="006364EC">
        <w:rPr>
          <w:rFonts w:ascii="Book Antiqua" w:hAnsi="Book Antiqua" w:cs="Helvetica"/>
          <w:lang w:val="en-US"/>
        </w:rPr>
        <w:t xml:space="preserve">of </w:t>
      </w:r>
      <w:r w:rsidR="006364EC">
        <w:rPr>
          <w:rFonts w:ascii="Book Antiqua" w:hAnsi="Book Antiqua" w:cs="Helvetica"/>
          <w:lang w:val="en-US"/>
        </w:rPr>
        <w:lastRenderedPageBreak/>
        <w:t>these</w:t>
      </w:r>
      <w:r>
        <w:rPr>
          <w:rFonts w:ascii="Book Antiqua" w:hAnsi="Book Antiqua" w:cs="Helvetica"/>
          <w:lang w:val="en-US"/>
        </w:rPr>
        <w:t xml:space="preserve"> </w:t>
      </w:r>
      <w:r w:rsidR="006364EC">
        <w:rPr>
          <w:rFonts w:ascii="Book Antiqua" w:hAnsi="Book Antiqua" w:cs="Helvetica"/>
          <w:lang w:val="en-US"/>
        </w:rPr>
        <w:t>for Nussbaum is</w:t>
      </w:r>
      <w:r>
        <w:rPr>
          <w:rFonts w:ascii="Book Antiqua" w:hAnsi="Book Antiqua" w:cs="Helvetica"/>
          <w:lang w:val="en-US"/>
        </w:rPr>
        <w:t xml:space="preserve"> “</w:t>
      </w:r>
      <w:r w:rsidRPr="00C93322">
        <w:rPr>
          <w:rFonts w:ascii="Book Antiqua" w:hAnsi="Book Antiqua" w:cs="Helvetica"/>
          <w:lang w:val="en-US"/>
        </w:rPr>
        <w:t>the complete absence of instrumentalization</w:t>
      </w:r>
      <w:r>
        <w:rPr>
          <w:rFonts w:ascii="Book Antiqua" w:hAnsi="Book Antiqua" w:cs="Helvetica"/>
          <w:lang w:val="en-US"/>
        </w:rPr>
        <w:t>.”</w:t>
      </w:r>
      <w:r>
        <w:rPr>
          <w:rStyle w:val="FootnoteReference"/>
          <w:rFonts w:ascii="Book Antiqua" w:hAnsi="Book Antiqua" w:cs="Helvetica"/>
          <w:lang w:val="en-US"/>
        </w:rPr>
        <w:footnoteReference w:id="55"/>
      </w:r>
      <w:r w:rsidRPr="00C93322">
        <w:rPr>
          <w:rFonts w:ascii="Book Antiqua" w:hAnsi="Book Antiqua" w:cs="Helvetica"/>
          <w:lang w:val="en-US"/>
        </w:rPr>
        <w:t xml:space="preserve"> </w:t>
      </w:r>
      <w:r>
        <w:rPr>
          <w:rFonts w:ascii="Book Antiqua" w:hAnsi="Book Antiqua" w:cs="Helvetica"/>
          <w:lang w:val="en-US"/>
        </w:rPr>
        <w:t xml:space="preserve">  Remember, </w:t>
      </w:r>
      <w:r w:rsidR="006364EC">
        <w:rPr>
          <w:rFonts w:ascii="Book Antiqua" w:hAnsi="Book Antiqua" w:cs="Helvetica"/>
          <w:lang w:val="en-US"/>
        </w:rPr>
        <w:t>on her account,</w:t>
      </w:r>
      <w:r>
        <w:rPr>
          <w:rFonts w:ascii="Book Antiqua" w:hAnsi="Book Antiqua" w:cs="Helvetica"/>
          <w:lang w:val="en-US"/>
        </w:rPr>
        <w:t xml:space="preserve"> “</w:t>
      </w:r>
      <w:r w:rsidRPr="00C93322">
        <w:rPr>
          <w:rFonts w:ascii="Book Antiqua" w:hAnsi="Book Antiqua" w:cs="Helvetica"/>
          <w:lang w:val="en-US"/>
        </w:rPr>
        <w:t>the treatment of human beings as tools of the purposes of another, is always morally problematic; if it does not take place in a larger context of regard for humanity, it is a central form of the morally objectionable</w:t>
      </w:r>
      <w:r>
        <w:rPr>
          <w:rFonts w:ascii="Book Antiqua" w:hAnsi="Book Antiqua" w:cs="Helvetica"/>
          <w:lang w:val="en-US"/>
        </w:rPr>
        <w:t>.”</w:t>
      </w:r>
      <w:r>
        <w:rPr>
          <w:rStyle w:val="FootnoteReference"/>
          <w:rFonts w:ascii="Book Antiqua" w:hAnsi="Book Antiqua" w:cs="Helvetica"/>
          <w:lang w:val="en-US"/>
        </w:rPr>
        <w:footnoteReference w:id="56"/>
      </w:r>
      <w:r w:rsidR="00A70B56">
        <w:rPr>
          <w:rFonts w:ascii="Book Antiqua" w:hAnsi="Book Antiqua" w:cs="Helvetica"/>
          <w:lang w:val="en-US"/>
        </w:rPr>
        <w:t xml:space="preserve">  Perhaps we might argue that, for all its Lawrentian features, our understanding of motherhood is objectionably objectifying because it involves instrumentalisation. </w:t>
      </w:r>
      <w:r>
        <w:rPr>
          <w:rFonts w:ascii="Book Antiqua" w:hAnsi="Book Antiqua" w:cs="Helvetica"/>
          <w:lang w:val="en-US"/>
        </w:rPr>
        <w:t xml:space="preserve">  </w:t>
      </w:r>
    </w:p>
    <w:p w14:paraId="08F87FAD" w14:textId="395B0FF8" w:rsidR="000A51DF" w:rsidRDefault="00E23803" w:rsidP="00154AC5">
      <w:pPr>
        <w:spacing w:line="360" w:lineRule="auto"/>
        <w:ind w:firstLine="720"/>
        <w:jc w:val="both"/>
        <w:rPr>
          <w:rFonts w:ascii="Book Antiqua" w:hAnsi="Book Antiqua" w:cs="Helvetica"/>
          <w:lang w:val="en-US"/>
        </w:rPr>
      </w:pPr>
      <w:r>
        <w:rPr>
          <w:rFonts w:ascii="Book Antiqua" w:hAnsi="Book Antiqua" w:cs="Helvetica"/>
          <w:lang w:val="en-US"/>
        </w:rPr>
        <w:t>Leslie Green</w:t>
      </w:r>
      <w:r w:rsidR="00A70B56">
        <w:rPr>
          <w:rFonts w:ascii="Book Antiqua" w:hAnsi="Book Antiqua" w:cs="Helvetica"/>
          <w:lang w:val="en-US"/>
        </w:rPr>
        <w:t>’s argument cast doubt on this move.  Green argues</w:t>
      </w:r>
      <w:r>
        <w:rPr>
          <w:rFonts w:ascii="Book Antiqua" w:hAnsi="Book Antiqua" w:cs="Helvetica"/>
          <w:lang w:val="en-US"/>
        </w:rPr>
        <w:t xml:space="preserve"> that far from being always morally problematic, understanding oneself as a tool for the purposes of others might be a central aspect of human dignity:  “</w:t>
      </w:r>
      <w:r w:rsidRPr="00ED2897">
        <w:rPr>
          <w:rFonts w:ascii="Book Antiqua" w:hAnsi="Book Antiqua" w:cs="Helvetica"/>
          <w:lang w:val="en-US"/>
        </w:rPr>
        <w:t xml:space="preserve">Most people desperately </w:t>
      </w:r>
      <w:r w:rsidRPr="00ED2897">
        <w:rPr>
          <w:rFonts w:ascii="Book Antiqua" w:hAnsi="Book Antiqua" w:cs="Helvetica"/>
          <w:i/>
          <w:lang w:val="en-US"/>
        </w:rPr>
        <w:t>want</w:t>
      </w:r>
      <w:r w:rsidRPr="00ED2897">
        <w:rPr>
          <w:rFonts w:ascii="Book Antiqua" w:hAnsi="Book Antiqua" w:cs="Helvetica"/>
          <w:lang w:val="en-US"/>
        </w:rPr>
        <w:t xml:space="preserve"> to be of use to others, and they come to understand themselves partly through their uses, actual and potential.</w:t>
      </w:r>
      <w:r>
        <w:rPr>
          <w:rFonts w:ascii="Book Antiqua" w:hAnsi="Book Antiqua" w:cs="Helvetica"/>
          <w:lang w:val="en-US"/>
        </w:rPr>
        <w:t>”</w:t>
      </w:r>
      <w:r>
        <w:rPr>
          <w:rStyle w:val="FootnoteReference"/>
          <w:rFonts w:ascii="Book Antiqua" w:hAnsi="Book Antiqua" w:cs="Helvetica"/>
          <w:lang w:val="en-US"/>
        </w:rPr>
        <w:footnoteReference w:id="57"/>
      </w:r>
      <w:r>
        <w:rPr>
          <w:rFonts w:ascii="Book Antiqua" w:hAnsi="Book Antiqua" w:cs="Helvetica"/>
          <w:lang w:val="en-US"/>
        </w:rPr>
        <w:t xml:space="preserve"> </w:t>
      </w:r>
      <w:r w:rsidR="00A70B56">
        <w:rPr>
          <w:rFonts w:ascii="Book Antiqua" w:hAnsi="Book Antiqua" w:cs="Helvetica"/>
          <w:lang w:val="en-US"/>
        </w:rPr>
        <w:t>O</w:t>
      </w:r>
      <w:r>
        <w:rPr>
          <w:rFonts w:ascii="Book Antiqua" w:hAnsi="Book Antiqua" w:cs="Helvetica"/>
          <w:lang w:val="en-US"/>
        </w:rPr>
        <w:t>ne of the reasons that we fear aging and disability is because we worry that they will prevent us from being useful to others. “[People suffering from age or infirmity] miss not only their diminish</w:t>
      </w:r>
      <w:r w:rsidR="008604B3">
        <w:rPr>
          <w:rFonts w:ascii="Book Antiqua" w:hAnsi="Book Antiqua" w:cs="Helvetica"/>
          <w:lang w:val="en-US"/>
        </w:rPr>
        <w:t>ed</w:t>
      </w:r>
      <w:r>
        <w:rPr>
          <w:rFonts w:ascii="Book Antiqua" w:hAnsi="Book Antiqua" w:cs="Helvetica"/>
          <w:lang w:val="en-US"/>
        </w:rPr>
        <w:t xml:space="preserve"> agency but also their diminished objectivity.”</w:t>
      </w:r>
      <w:r>
        <w:rPr>
          <w:rStyle w:val="FootnoteReference"/>
          <w:rFonts w:ascii="Book Antiqua" w:hAnsi="Book Antiqua" w:cs="Helvetica"/>
          <w:lang w:val="en-US"/>
        </w:rPr>
        <w:footnoteReference w:id="58"/>
      </w:r>
      <w:r>
        <w:rPr>
          <w:rFonts w:ascii="Book Antiqua" w:hAnsi="Book Antiqua" w:cs="Helvetica"/>
          <w:lang w:val="en-US"/>
        </w:rPr>
        <w:t xml:space="preserve"> </w:t>
      </w:r>
      <w:r w:rsidR="00ED6FB6">
        <w:rPr>
          <w:rFonts w:ascii="Book Antiqua" w:hAnsi="Book Antiqua" w:cs="Helvetica"/>
          <w:lang w:val="en-US"/>
        </w:rPr>
        <w:t xml:space="preserve">Again, </w:t>
      </w:r>
      <w:r w:rsidR="00AA3CA1">
        <w:rPr>
          <w:rFonts w:ascii="Book Antiqua" w:hAnsi="Book Antiqua" w:cs="Helvetica"/>
          <w:lang w:val="en-US"/>
        </w:rPr>
        <w:t>these thoughts might be echoed in discussing the Model of Motherhood</w:t>
      </w:r>
      <w:r w:rsidR="00ED6FB6">
        <w:rPr>
          <w:rFonts w:ascii="Book Antiqua" w:hAnsi="Book Antiqua" w:cs="Helvetica"/>
          <w:lang w:val="en-US"/>
        </w:rPr>
        <w:t>.</w:t>
      </w:r>
      <w:r w:rsidR="00A70B56">
        <w:rPr>
          <w:rFonts w:ascii="Book Antiqua" w:hAnsi="Book Antiqua" w:cs="Helvetica"/>
          <w:lang w:val="en-US"/>
        </w:rPr>
        <w:t xml:space="preserve">  For </w:t>
      </w:r>
      <w:r w:rsidR="00AA3CA1">
        <w:rPr>
          <w:rFonts w:ascii="Book Antiqua" w:hAnsi="Book Antiqua" w:cs="Helvetica"/>
          <w:lang w:val="en-US"/>
        </w:rPr>
        <w:t>one</w:t>
      </w:r>
      <w:r w:rsidR="00A70B56">
        <w:rPr>
          <w:rFonts w:ascii="Book Antiqua" w:hAnsi="Book Antiqua" w:cs="Helvetica"/>
          <w:lang w:val="en-US"/>
        </w:rPr>
        <w:t xml:space="preserve"> m</w:t>
      </w:r>
      <w:r w:rsidR="00AA3CA1">
        <w:rPr>
          <w:rFonts w:ascii="Book Antiqua" w:hAnsi="Book Antiqua" w:cs="Helvetica"/>
          <w:lang w:val="en-US"/>
        </w:rPr>
        <w:t>ight</w:t>
      </w:r>
      <w:r w:rsidR="00A70B56">
        <w:rPr>
          <w:rFonts w:ascii="Book Antiqua" w:hAnsi="Book Antiqua" w:cs="Helvetica"/>
          <w:lang w:val="en-US"/>
        </w:rPr>
        <w:t xml:space="preserve"> argue that it is not objectionable objectification to recognize what a mother can do for her child.  Being </w:t>
      </w:r>
      <w:r w:rsidR="006364EC">
        <w:rPr>
          <w:rFonts w:ascii="Book Antiqua" w:hAnsi="Book Antiqua" w:cs="Helvetica"/>
          <w:lang w:val="en-US"/>
        </w:rPr>
        <w:t>used</w:t>
      </w:r>
      <w:r w:rsidR="00A70B56">
        <w:rPr>
          <w:rFonts w:ascii="Book Antiqua" w:hAnsi="Book Antiqua" w:cs="Helvetica"/>
          <w:lang w:val="en-US"/>
        </w:rPr>
        <w:t xml:space="preserve"> in this way can be deeply valuable.  Indeed, it can be one of the central ways in which we understand ourselves as valuable and our lives as meaningfu</w:t>
      </w:r>
      <w:r w:rsidR="00222223">
        <w:rPr>
          <w:rFonts w:ascii="Book Antiqua" w:hAnsi="Book Antiqua" w:cs="Helvetica"/>
          <w:lang w:val="en-US"/>
        </w:rPr>
        <w:t>l</w:t>
      </w:r>
      <w:r w:rsidR="008D3EC5">
        <w:rPr>
          <w:rFonts w:ascii="Book Antiqua" w:hAnsi="Book Antiqua" w:cs="Helvetica"/>
          <w:lang w:val="en-US"/>
        </w:rPr>
        <w:t xml:space="preserve">.  One might argue that instead of condemning our understanding of motherhood as objectionably objectifying, we should instead recognize that there need not be anything demeaning about subsuming your needs to another’s.  Instead of seeing </w:t>
      </w:r>
      <w:r w:rsidR="00E2052E">
        <w:rPr>
          <w:rFonts w:ascii="Book Antiqua" w:hAnsi="Book Antiqua" w:cs="Helvetica"/>
          <w:lang w:val="en-US"/>
        </w:rPr>
        <w:t xml:space="preserve">the </w:t>
      </w:r>
      <w:r w:rsidR="008D3EC5">
        <w:rPr>
          <w:rFonts w:ascii="Book Antiqua" w:hAnsi="Book Antiqua" w:cs="Helvetica"/>
          <w:lang w:val="en-US"/>
        </w:rPr>
        <w:t>instrumentality</w:t>
      </w:r>
      <w:r w:rsidR="00E2052E">
        <w:rPr>
          <w:rFonts w:ascii="Book Antiqua" w:hAnsi="Book Antiqua" w:cs="Helvetica"/>
          <w:lang w:val="en-US"/>
        </w:rPr>
        <w:t xml:space="preserve"> involved in our understanding of motherhood</w:t>
      </w:r>
      <w:r w:rsidR="008D3EC5">
        <w:rPr>
          <w:rFonts w:ascii="Book Antiqua" w:hAnsi="Book Antiqua" w:cs="Helvetica"/>
          <w:lang w:val="en-US"/>
        </w:rPr>
        <w:t xml:space="preserve"> as incompatible with respect for human dignity, perhaps we should start to respect instrumentality as a valuable part of human life</w:t>
      </w:r>
      <w:r w:rsidR="002E2063">
        <w:rPr>
          <w:rFonts w:ascii="Book Antiqua" w:hAnsi="Book Antiqua" w:cs="Helvetica"/>
          <w:lang w:val="en-US"/>
        </w:rPr>
        <w:t>.</w:t>
      </w:r>
    </w:p>
    <w:p w14:paraId="17A0EAF6" w14:textId="77777777" w:rsidR="00923CF8" w:rsidRDefault="000A51DF" w:rsidP="00154AC5">
      <w:pPr>
        <w:spacing w:line="360" w:lineRule="auto"/>
        <w:ind w:firstLine="720"/>
        <w:jc w:val="both"/>
        <w:rPr>
          <w:rFonts w:ascii="Book Antiqua" w:hAnsi="Book Antiqua" w:cs="Helvetica"/>
          <w:lang w:val="en-US"/>
        </w:rPr>
      </w:pPr>
      <w:r>
        <w:rPr>
          <w:rFonts w:ascii="Book Antiqua" w:hAnsi="Book Antiqua" w:cs="Helvetica"/>
          <w:lang w:val="en-US"/>
        </w:rPr>
        <w:lastRenderedPageBreak/>
        <w:t xml:space="preserve"> Green’s arguments block the simple response that the objectification involved in motherhood is objectionable because it involve instrumentalisation and instrumentalisation is always bad.  They also do something even more interesting.   They give us reason to be skeptical about Nussbaum’s claim that Lawrentian Objectification is a good form of objectification, and indeed of her argument that objectification need not be morally problematic. </w:t>
      </w:r>
    </w:p>
    <w:p w14:paraId="32D89417" w14:textId="13629B8A" w:rsidR="00923CF8" w:rsidRDefault="000A51DF" w:rsidP="00154AC5">
      <w:pPr>
        <w:spacing w:line="360" w:lineRule="auto"/>
        <w:ind w:firstLine="720"/>
        <w:jc w:val="both"/>
        <w:rPr>
          <w:rFonts w:ascii="Book Antiqua" w:hAnsi="Book Antiqua" w:cs="Helvetica"/>
          <w:lang w:val="en-US"/>
        </w:rPr>
      </w:pPr>
      <w:r>
        <w:rPr>
          <w:rFonts w:ascii="Book Antiqua" w:hAnsi="Book Antiqua" w:cs="Helvetica"/>
          <w:lang w:val="en-US"/>
        </w:rPr>
        <w:t>Green argues earlier that Nussbaum’s claim that objectification involves “treating as an object what is not really an object”</w:t>
      </w:r>
      <w:r>
        <w:rPr>
          <w:rStyle w:val="FootnoteReference"/>
          <w:rFonts w:ascii="Book Antiqua" w:hAnsi="Book Antiqua" w:cs="Helvetica"/>
          <w:lang w:val="en-US"/>
        </w:rPr>
        <w:footnoteReference w:id="59"/>
      </w:r>
      <w:r>
        <w:rPr>
          <w:rFonts w:ascii="Book Antiqua" w:hAnsi="Book Antiqua" w:cs="Helvetica"/>
          <w:lang w:val="en-US"/>
        </w:rPr>
        <w:t xml:space="preserve"> is potentially misleading.  As Green points out, people </w:t>
      </w:r>
      <w:r w:rsidRPr="00C140C4">
        <w:rPr>
          <w:rFonts w:ascii="Book Antiqua" w:hAnsi="Book Antiqua" w:cs="Helvetica"/>
          <w:i/>
          <w:lang w:val="en-US"/>
        </w:rPr>
        <w:t>are</w:t>
      </w:r>
      <w:r>
        <w:rPr>
          <w:rFonts w:ascii="Book Antiqua" w:hAnsi="Book Antiqua" w:cs="Helvetica"/>
          <w:lang w:val="en-US"/>
        </w:rPr>
        <w:t xml:space="preserve"> objects.  Objectification occurs not when people are treated as objects, but when people are treated as </w:t>
      </w:r>
      <w:r w:rsidRPr="00C140C4">
        <w:rPr>
          <w:rFonts w:ascii="Book Antiqua" w:hAnsi="Book Antiqua" w:cs="Helvetica"/>
          <w:i/>
          <w:lang w:val="en-US"/>
        </w:rPr>
        <w:t>mere</w:t>
      </w:r>
      <w:r>
        <w:rPr>
          <w:rFonts w:ascii="Book Antiqua" w:hAnsi="Book Antiqua" w:cs="Helvetica"/>
          <w:lang w:val="en-US"/>
        </w:rPr>
        <w:t xml:space="preserve"> objects. “[Objectification] is a matter of treating as a </w:t>
      </w:r>
      <w:r>
        <w:rPr>
          <w:rFonts w:ascii="Book Antiqua" w:hAnsi="Book Antiqua" w:cs="Helvetica"/>
          <w:i/>
          <w:lang w:val="en-US"/>
        </w:rPr>
        <w:t xml:space="preserve">mere </w:t>
      </w:r>
      <w:r>
        <w:rPr>
          <w:rFonts w:ascii="Book Antiqua" w:hAnsi="Book Antiqua" w:cs="Helvetica"/>
          <w:lang w:val="en-US"/>
        </w:rPr>
        <w:t>object something that is more than an object; it is a matter of denying or devaluing their subjectivity, of failing to recognize them as ‘ends-in-themselves’”.</w:t>
      </w:r>
      <w:r>
        <w:rPr>
          <w:rStyle w:val="FootnoteReference"/>
          <w:rFonts w:ascii="Book Antiqua" w:hAnsi="Book Antiqua" w:cs="Helvetica"/>
          <w:lang w:val="en-US"/>
        </w:rPr>
        <w:footnoteReference w:id="60"/>
      </w:r>
      <w:r>
        <w:rPr>
          <w:rFonts w:ascii="Book Antiqua" w:hAnsi="Book Antiqua" w:cs="Helvetica"/>
          <w:lang w:val="en-US"/>
        </w:rPr>
        <w:t xml:space="preserve">   In light of these earlier comments, we can understand Green’s argument about instrumentality as showing that people are tools for other</w:t>
      </w:r>
      <w:r w:rsidR="0014628D">
        <w:rPr>
          <w:rFonts w:ascii="Book Antiqua" w:hAnsi="Book Antiqua" w:cs="Helvetica"/>
          <w:lang w:val="en-US"/>
        </w:rPr>
        <w:t xml:space="preserve"> people’s purposes and that treating them as such may not involve denying or devaluing their subjectivity.  Indeed, being useful in this way may be an important part of a full human life.  If this is so, then perhaps </w:t>
      </w:r>
      <w:r w:rsidR="0070592A">
        <w:rPr>
          <w:rFonts w:ascii="Book Antiqua" w:hAnsi="Book Antiqua" w:cs="Helvetica"/>
          <w:lang w:val="en-US"/>
        </w:rPr>
        <w:t>instrumentality (treating someone as a tool for one’s own purposes) should not be seen as</w:t>
      </w:r>
      <w:r w:rsidR="004B57DA">
        <w:rPr>
          <w:rFonts w:ascii="Book Antiqua" w:hAnsi="Book Antiqua" w:cs="Helvetica"/>
          <w:lang w:val="en-US"/>
        </w:rPr>
        <w:t xml:space="preserve"> a signal of objectification.  O</w:t>
      </w:r>
      <w:r w:rsidR="0070592A">
        <w:rPr>
          <w:rFonts w:ascii="Book Antiqua" w:hAnsi="Book Antiqua" w:cs="Helvetica"/>
          <w:lang w:val="en-US"/>
        </w:rPr>
        <w:t>bjectification</w:t>
      </w:r>
      <w:r w:rsidR="004B57DA">
        <w:rPr>
          <w:rFonts w:ascii="Book Antiqua" w:hAnsi="Book Antiqua" w:cs="Helvetica"/>
          <w:lang w:val="en-US"/>
        </w:rPr>
        <w:t xml:space="preserve"> on grounds of instrumentality</w:t>
      </w:r>
      <w:r w:rsidR="0070592A">
        <w:rPr>
          <w:rFonts w:ascii="Book Antiqua" w:hAnsi="Book Antiqua" w:cs="Helvetica"/>
          <w:lang w:val="en-US"/>
        </w:rPr>
        <w:t xml:space="preserve"> requires something stronger.  It requires us to treat a person </w:t>
      </w:r>
      <w:r w:rsidR="0070592A">
        <w:rPr>
          <w:rFonts w:ascii="Book Antiqua" w:hAnsi="Book Antiqua" w:cs="Helvetica"/>
          <w:i/>
          <w:lang w:val="en-US"/>
        </w:rPr>
        <w:t>merely</w:t>
      </w:r>
      <w:r w:rsidR="0070592A">
        <w:rPr>
          <w:rFonts w:ascii="Book Antiqua" w:hAnsi="Book Antiqua" w:cs="Helvetica"/>
          <w:lang w:val="en-US"/>
        </w:rPr>
        <w:t xml:space="preserve"> as a tool for one’s own purposes or, to be more precise, as a tool for one’s own purpose in a way that is incompatible with the appropriate treatment of a person.  </w:t>
      </w:r>
    </w:p>
    <w:p w14:paraId="7071178E" w14:textId="55A58B21" w:rsidR="0011060B" w:rsidRDefault="0070592A" w:rsidP="00154AC5">
      <w:pPr>
        <w:spacing w:line="360" w:lineRule="auto"/>
        <w:ind w:firstLine="720"/>
        <w:jc w:val="both"/>
        <w:rPr>
          <w:rFonts w:ascii="Book Antiqua" w:hAnsi="Book Antiqua" w:cs="Times"/>
          <w:lang w:val="en-US"/>
        </w:rPr>
      </w:pPr>
      <w:r>
        <w:rPr>
          <w:rFonts w:ascii="Book Antiqua" w:hAnsi="Book Antiqua" w:cs="Helvetica"/>
          <w:lang w:val="en-US"/>
        </w:rPr>
        <w:t xml:space="preserve">This </w:t>
      </w:r>
      <w:r w:rsidR="0011060B">
        <w:rPr>
          <w:rFonts w:ascii="Book Antiqua" w:hAnsi="Book Antiqua" w:cs="Helvetica"/>
          <w:lang w:val="en-US"/>
        </w:rPr>
        <w:t>way of thinking</w:t>
      </w:r>
      <w:r>
        <w:rPr>
          <w:rFonts w:ascii="Book Antiqua" w:hAnsi="Book Antiqua" w:cs="Helvetica"/>
          <w:lang w:val="en-US"/>
        </w:rPr>
        <w:t xml:space="preserve"> allows us to resolve an apparent contradiction in Nussbaum’s discussion of the feature of violability.  At times, she seems to have an extremely strong understanding of ‘violability’, according to which an object is only treated as violable if there are no constraints on breaking it or breaking into it.  For example, </w:t>
      </w:r>
      <w:r>
        <w:rPr>
          <w:rFonts w:ascii="Book Antiqua" w:hAnsi="Book Antiqua" w:cs="Helvetica"/>
          <w:lang w:val="en-US"/>
        </w:rPr>
        <w:lastRenderedPageBreak/>
        <w:t xml:space="preserve">she suggests that ballpoint pens may lack violability because “it might be thought inappropriate or at least wasteful to </w:t>
      </w:r>
      <w:r w:rsidR="000A51DF" w:rsidRPr="0070592A">
        <w:rPr>
          <w:rFonts w:ascii="Times" w:hAnsi="Times" w:cs="Times"/>
          <w:lang w:val="en-US"/>
        </w:rPr>
        <w:t xml:space="preserve">break up </w:t>
      </w:r>
      <w:r w:rsidR="00E2052E">
        <w:rPr>
          <w:rFonts w:ascii="Book Antiqua" w:hAnsi="Book Antiqua" w:cs="Times"/>
          <w:lang w:val="en-US"/>
        </w:rPr>
        <w:t>ballpoint pens.”</w:t>
      </w:r>
      <w:r w:rsidR="00E2052E">
        <w:rPr>
          <w:rStyle w:val="FootnoteReference"/>
          <w:rFonts w:ascii="Book Antiqua" w:hAnsi="Book Antiqua" w:cs="Times"/>
          <w:lang w:val="en-US"/>
        </w:rPr>
        <w:footnoteReference w:id="61"/>
      </w:r>
      <w:r w:rsidR="00E2052E">
        <w:rPr>
          <w:rFonts w:ascii="Book Antiqua" w:hAnsi="Book Antiqua" w:cs="Times"/>
          <w:lang w:val="en-US"/>
        </w:rPr>
        <w:t xml:space="preserve"> </w:t>
      </w:r>
      <w:r w:rsidR="00F41A9B">
        <w:rPr>
          <w:rFonts w:ascii="Book Antiqua" w:hAnsi="Book Antiqua" w:cs="Times"/>
          <w:lang w:val="en-US"/>
        </w:rPr>
        <w:t xml:space="preserve">In contrast, when attributing violability to the sexual encounters described by Lawrence, she seems to be </w:t>
      </w:r>
      <w:r w:rsidR="00AA3CA1">
        <w:rPr>
          <w:rFonts w:ascii="Book Antiqua" w:hAnsi="Book Antiqua" w:cs="Times"/>
          <w:lang w:val="en-US"/>
        </w:rPr>
        <w:t>assuming</w:t>
      </w:r>
      <w:r w:rsidR="00F41A9B">
        <w:rPr>
          <w:rFonts w:ascii="Book Antiqua" w:hAnsi="Book Antiqua" w:cs="Times"/>
          <w:lang w:val="en-US"/>
        </w:rPr>
        <w:t xml:space="preserve"> that something is treated as violable if there are some situations in which its boundaries may be crossed.  In one case, she seems to understand violability as an absolute lack of boundaries, in the other as a lack of absolute boundaries.  Neither of these seems quite right for violability as a type of objectification</w:t>
      </w:r>
      <w:r w:rsidR="004B57DA">
        <w:rPr>
          <w:rFonts w:ascii="Book Antiqua" w:hAnsi="Book Antiqua" w:cs="Times"/>
          <w:lang w:val="en-US"/>
        </w:rPr>
        <w:t xml:space="preserve">.  I suggest that we should </w:t>
      </w:r>
      <w:r w:rsidR="0011060B">
        <w:rPr>
          <w:rFonts w:ascii="Book Antiqua" w:hAnsi="Book Antiqua" w:cs="Times"/>
          <w:lang w:val="en-US"/>
        </w:rPr>
        <w:t xml:space="preserve">see </w:t>
      </w:r>
      <w:r w:rsidR="004B57DA">
        <w:rPr>
          <w:rFonts w:ascii="Book Antiqua" w:hAnsi="Book Antiqua" w:cs="Times"/>
          <w:lang w:val="en-US"/>
        </w:rPr>
        <w:t xml:space="preserve">violability as a type of objectification </w:t>
      </w:r>
      <w:r w:rsidR="0011060B">
        <w:rPr>
          <w:rFonts w:ascii="Book Antiqua" w:hAnsi="Book Antiqua" w:cs="Times"/>
          <w:lang w:val="en-US"/>
        </w:rPr>
        <w:t>when it involves</w:t>
      </w:r>
      <w:r w:rsidR="004B57DA">
        <w:rPr>
          <w:rFonts w:ascii="Book Antiqua" w:hAnsi="Book Antiqua" w:cs="Times"/>
          <w:lang w:val="en-US"/>
        </w:rPr>
        <w:t xml:space="preserve"> fail</w:t>
      </w:r>
      <w:r w:rsidR="0011060B">
        <w:rPr>
          <w:rFonts w:ascii="Book Antiqua" w:hAnsi="Book Antiqua" w:cs="Times"/>
          <w:lang w:val="en-US"/>
        </w:rPr>
        <w:t>ing</w:t>
      </w:r>
      <w:r w:rsidR="004B57DA">
        <w:rPr>
          <w:rFonts w:ascii="Book Antiqua" w:hAnsi="Book Antiqua" w:cs="Times"/>
          <w:lang w:val="en-US"/>
        </w:rPr>
        <w:t xml:space="preserve"> to treat a person as having the kind of boundary-integrity </w:t>
      </w:r>
      <w:r w:rsidR="004B57DA">
        <w:rPr>
          <w:rFonts w:ascii="Book Antiqua" w:hAnsi="Book Antiqua" w:cs="Times"/>
          <w:i/>
          <w:lang w:val="en-US"/>
        </w:rPr>
        <w:t>appropriate for persons</w:t>
      </w:r>
      <w:r w:rsidR="004B57DA">
        <w:rPr>
          <w:rFonts w:ascii="Book Antiqua" w:hAnsi="Book Antiqua" w:cs="Times"/>
          <w:lang w:val="en-US"/>
        </w:rPr>
        <w:t>.</w:t>
      </w:r>
      <w:r w:rsidR="0011060B">
        <w:rPr>
          <w:rFonts w:ascii="Book Antiqua" w:hAnsi="Book Antiqua" w:cs="Times"/>
          <w:lang w:val="en-US"/>
        </w:rPr>
        <w:t xml:space="preserve">  </w:t>
      </w:r>
    </w:p>
    <w:p w14:paraId="60DB7D17" w14:textId="4AD75415" w:rsidR="00742AC2" w:rsidRDefault="0011060B" w:rsidP="00154AC5">
      <w:pPr>
        <w:spacing w:line="360" w:lineRule="auto"/>
        <w:ind w:firstLine="720"/>
        <w:jc w:val="both"/>
        <w:rPr>
          <w:rFonts w:ascii="Book Antiqua" w:hAnsi="Book Antiqua" w:cs="Helvetica"/>
          <w:lang w:val="en-US"/>
        </w:rPr>
      </w:pPr>
      <w:r>
        <w:rPr>
          <w:rFonts w:ascii="Book Antiqua" w:hAnsi="Book Antiqua" w:cs="Times"/>
          <w:lang w:val="en-US"/>
        </w:rPr>
        <w:t>We can extend this to the other features of objectification picked out by Nussbaum and Langton.  If objectification is treating a person as a mere thing, then treating someone as having a property of objects will only be objectification if it is treating that person as having that property in a way</w:t>
      </w:r>
      <w:r w:rsidR="00AA3CA1">
        <w:rPr>
          <w:rFonts w:ascii="Book Antiqua" w:hAnsi="Book Antiqua" w:cs="Times"/>
          <w:lang w:val="en-US"/>
        </w:rPr>
        <w:t xml:space="preserve"> (or to an extent)</w:t>
      </w:r>
      <w:r>
        <w:rPr>
          <w:rFonts w:ascii="Book Antiqua" w:hAnsi="Book Antiqua" w:cs="Times"/>
          <w:lang w:val="en-US"/>
        </w:rPr>
        <w:t xml:space="preserve"> which is inappropriate for persons.  Similarly, treating someone as to some extent lacking a property associated with person will be objectification only if lacking that property to that extent or in that way is inappropriate for persons.  Thus, for example, </w:t>
      </w:r>
      <w:r w:rsidRPr="000D2FBF">
        <w:rPr>
          <w:rFonts w:ascii="Book Antiqua" w:hAnsi="Book Antiqua" w:cs="Helvetica"/>
          <w:i/>
          <w:iCs/>
          <w:lang w:val="en-US"/>
        </w:rPr>
        <w:t>denial of autonomy</w:t>
      </w:r>
      <w:r>
        <w:rPr>
          <w:rFonts w:ascii="Book Antiqua" w:hAnsi="Book Antiqua" w:cs="Helvetica"/>
          <w:i/>
          <w:lang w:val="en-US"/>
        </w:rPr>
        <w:t xml:space="preserve"> </w:t>
      </w:r>
      <w:r>
        <w:rPr>
          <w:rFonts w:ascii="Book Antiqua" w:hAnsi="Book Antiqua" w:cs="Helvetica"/>
          <w:lang w:val="en-US"/>
        </w:rPr>
        <w:t xml:space="preserve">as a type of objectification involves not just treating a person as </w:t>
      </w:r>
      <w:r w:rsidRPr="000D2FBF">
        <w:rPr>
          <w:rFonts w:ascii="Book Antiqua" w:hAnsi="Book Antiqua" w:cs="Helvetica"/>
          <w:lang w:val="en-US"/>
        </w:rPr>
        <w:t>lacking in autonomy and self-determination</w:t>
      </w:r>
      <w:r>
        <w:rPr>
          <w:rFonts w:ascii="Book Antiqua" w:hAnsi="Book Antiqua" w:cs="Helvetica"/>
          <w:lang w:val="en-US"/>
        </w:rPr>
        <w:t>, but treating a person as lacking in autonomy and self-determination in a way that is inappropriate for persons.</w:t>
      </w:r>
      <w:r w:rsidR="00D10524">
        <w:rPr>
          <w:rFonts w:ascii="Book Antiqua" w:hAnsi="Book Antiqua" w:cs="Helvetica"/>
          <w:lang w:val="en-US"/>
        </w:rPr>
        <w:t xml:space="preserve">  </w:t>
      </w:r>
    </w:p>
    <w:p w14:paraId="3A557DC1" w14:textId="2B937B0E" w:rsidR="00742AC2" w:rsidRDefault="00742AC2" w:rsidP="00154AC5">
      <w:pPr>
        <w:spacing w:line="360" w:lineRule="auto"/>
        <w:ind w:firstLine="720"/>
        <w:jc w:val="both"/>
        <w:rPr>
          <w:rFonts w:ascii="Book Antiqua" w:hAnsi="Book Antiqua" w:cs="Helvetica"/>
          <w:lang w:val="en-US"/>
        </w:rPr>
      </w:pPr>
      <w:r>
        <w:rPr>
          <w:rFonts w:ascii="Book Antiqua" w:hAnsi="Book Antiqua" w:cs="Helvetica"/>
          <w:lang w:val="en-US"/>
        </w:rPr>
        <w:t xml:space="preserve">Some might worry that this interpretation leaves the concept of objectification unable to do any work in identifying what is wrong with certain types of behavior.  Suppose we can only say that certain behaviour counts as objectification if we already know that it involves, for example, treating someone as lacking in autonomy in a way that is inappropriate for persons.  Then it seems that we must already know that the behaviour is an inappropriate way to treat a person before we identify it as objectification.  Identifying it as objectification does not add </w:t>
      </w:r>
      <w:r>
        <w:rPr>
          <w:rFonts w:ascii="Book Antiqua" w:hAnsi="Book Antiqua" w:cs="Helvetica"/>
          <w:lang w:val="en-US"/>
        </w:rPr>
        <w:lastRenderedPageBreak/>
        <w:t xml:space="preserve">anything.  I think that this worry is misguided.  Identifying behaviour as objectification does indeed help us to understand what is wrong with it.  It points to a way, or family of ways, in which this treatment conflicts with appropriate treatment of persons.  If there is dispute about whether the behaviour is truly objectifying, this is likely to point to disagreement about the constraints on treatment of persons.  We might draw an analogy here with </w:t>
      </w:r>
      <w:r w:rsidR="00CF707A">
        <w:rPr>
          <w:rFonts w:ascii="Book Antiqua" w:hAnsi="Book Antiqua" w:cs="Helvetica"/>
          <w:lang w:val="en-US"/>
        </w:rPr>
        <w:t>claims that a prosecution did not follow due process or that an election campaign was not conducted with due propriety.  Each of these refers to background normative claims, but nonetheless can be useful in explaining what is wrong with the behaviour in question.  Nussbaum’s analysis is helpful here, for in helping to bring out the cluster of featur</w:t>
      </w:r>
      <w:r w:rsidR="00E2052E">
        <w:rPr>
          <w:rFonts w:ascii="Book Antiqua" w:hAnsi="Book Antiqua" w:cs="Helvetica"/>
          <w:lang w:val="en-US"/>
        </w:rPr>
        <w:t xml:space="preserve">es involved in objectification, </w:t>
      </w:r>
      <w:r w:rsidR="00CF707A">
        <w:rPr>
          <w:rFonts w:ascii="Book Antiqua" w:hAnsi="Book Antiqua" w:cs="Helvetica"/>
          <w:lang w:val="en-US"/>
        </w:rPr>
        <w:t xml:space="preserve">it provides a better understanding of the way in which objectifying behaviour is </w:t>
      </w:r>
      <w:r w:rsidR="003C6F91">
        <w:rPr>
          <w:rFonts w:ascii="Book Antiqua" w:hAnsi="Book Antiqua" w:cs="Helvetica"/>
          <w:lang w:val="en-US"/>
        </w:rPr>
        <w:t>morally objectionable</w:t>
      </w:r>
      <w:r w:rsidR="00CF707A">
        <w:rPr>
          <w:rFonts w:ascii="Book Antiqua" w:hAnsi="Book Antiqua" w:cs="Helvetica"/>
          <w:lang w:val="en-US"/>
        </w:rPr>
        <w:t>.</w:t>
      </w:r>
      <w:r w:rsidR="00E2052E">
        <w:rPr>
          <w:rFonts w:ascii="Book Antiqua" w:hAnsi="Book Antiqua" w:cs="Helvetica"/>
          <w:lang w:val="en-US"/>
        </w:rPr>
        <w:t xml:space="preserve">  This is particularly helpful because in any given instance of objectification we normally see several of these object-appropriate features, intertwined in various complex ways, making it harder to articulate the ways in which the treatment is problematic.</w:t>
      </w:r>
      <w:r w:rsidR="00CF707A">
        <w:rPr>
          <w:rFonts w:ascii="Book Antiqua" w:hAnsi="Book Antiqua" w:cs="Helvetica"/>
          <w:lang w:val="en-US"/>
        </w:rPr>
        <w:t xml:space="preserve"> </w:t>
      </w:r>
    </w:p>
    <w:p w14:paraId="794B8213" w14:textId="5E1A82F1" w:rsidR="0011060B" w:rsidRPr="00616FB3" w:rsidRDefault="00CF4E73" w:rsidP="00154AC5">
      <w:pPr>
        <w:spacing w:line="360" w:lineRule="auto"/>
        <w:ind w:firstLine="720"/>
        <w:jc w:val="both"/>
        <w:rPr>
          <w:rFonts w:ascii="Book Antiqua" w:hAnsi="Book Antiqua" w:cs="Times"/>
          <w:lang w:val="en-US"/>
        </w:rPr>
      </w:pPr>
      <w:r>
        <w:rPr>
          <w:rFonts w:ascii="Book Antiqua" w:hAnsi="Book Antiqua" w:cs="Helvetica"/>
          <w:lang w:val="en-US"/>
        </w:rPr>
        <w:t xml:space="preserve">Under </w:t>
      </w:r>
      <w:r w:rsidR="001014AF">
        <w:rPr>
          <w:rFonts w:ascii="Book Antiqua" w:hAnsi="Book Antiqua" w:cs="Helvetica"/>
          <w:lang w:val="en-US"/>
        </w:rPr>
        <w:t>my</w:t>
      </w:r>
      <w:r>
        <w:rPr>
          <w:rFonts w:ascii="Book Antiqua" w:hAnsi="Book Antiqua" w:cs="Helvetica"/>
          <w:lang w:val="en-US"/>
        </w:rPr>
        <w:t xml:space="preserve"> interpretation,</w:t>
      </w:r>
      <w:r w:rsidR="006760D9">
        <w:rPr>
          <w:rFonts w:ascii="Book Antiqua" w:hAnsi="Book Antiqua" w:cs="Helvetica"/>
          <w:lang w:val="en-US"/>
        </w:rPr>
        <w:t xml:space="preserve"> objectification is by definition objectionable. Thus</w:t>
      </w:r>
      <w:r>
        <w:rPr>
          <w:rFonts w:ascii="Book Antiqua" w:hAnsi="Book Antiqua" w:cs="Helvetica"/>
          <w:lang w:val="en-US"/>
        </w:rPr>
        <w:t xml:space="preserve"> Nussbaum’s examples do not show that some objectification is wonderful.  Instead, they suggest that </w:t>
      </w:r>
      <w:r w:rsidR="004A282C">
        <w:rPr>
          <w:rFonts w:ascii="Book Antiqua" w:hAnsi="Book Antiqua" w:cs="Helvetica"/>
          <w:lang w:val="en-US"/>
        </w:rPr>
        <w:t>not all instances involving denial of autonomy and subjectivity, inertness or violability</w:t>
      </w:r>
      <w:r w:rsidR="00DA2B11">
        <w:rPr>
          <w:rFonts w:ascii="Book Antiqua" w:hAnsi="Book Antiqua" w:cs="Helvetica"/>
          <w:lang w:val="en-US"/>
        </w:rPr>
        <w:t xml:space="preserve"> etc.</w:t>
      </w:r>
      <w:r w:rsidR="004A282C">
        <w:rPr>
          <w:rFonts w:ascii="Book Antiqua" w:hAnsi="Book Antiqua" w:cs="Helvetica"/>
          <w:lang w:val="en-US"/>
        </w:rPr>
        <w:t xml:space="preserve"> count as objectification. We may mistakenly identify these as instances of objectification, but we do so because of a </w:t>
      </w:r>
      <w:r w:rsidR="00EC1520">
        <w:rPr>
          <w:rFonts w:ascii="Book Antiqua" w:hAnsi="Book Antiqua" w:cs="Helvetica"/>
          <w:lang w:val="en-US"/>
        </w:rPr>
        <w:t>mistaken assumption that the ideal for persons is a kind of glorious isolation with maximum autonomy, agency and inviolability.  Nussbaum and Green’s discussion shows that this ideal of autonomy may be missing aspects of a full human life.</w:t>
      </w:r>
      <w:r w:rsidR="00FB7CBE">
        <w:rPr>
          <w:rFonts w:ascii="Book Antiqua" w:hAnsi="Book Antiqua" w:cs="Helvetica"/>
          <w:lang w:val="en-US"/>
        </w:rPr>
        <w:t xml:space="preserve">  Thinking about motherhood, and the ways in which the object-appropriate features of motherhood might be part of its value, adds another important example to Nussbaum and Green’s argument.</w:t>
      </w:r>
    </w:p>
    <w:p w14:paraId="3FE2B046" w14:textId="462CABF4" w:rsidR="002E2063" w:rsidRDefault="00616FB3" w:rsidP="00154AC5">
      <w:pPr>
        <w:spacing w:line="360" w:lineRule="auto"/>
        <w:ind w:firstLine="720"/>
        <w:jc w:val="both"/>
        <w:rPr>
          <w:rFonts w:ascii="Book Antiqua" w:hAnsi="Book Antiqua" w:cs="Helvetica"/>
          <w:lang w:val="en-US"/>
        </w:rPr>
      </w:pPr>
      <w:r>
        <w:rPr>
          <w:rFonts w:ascii="Book Antiqua" w:hAnsi="Book Antiqua" w:cs="Helvetica"/>
          <w:lang w:val="en-US"/>
        </w:rPr>
        <w:t xml:space="preserve">Of course, </w:t>
      </w:r>
      <w:r w:rsidR="00094EFB">
        <w:rPr>
          <w:rFonts w:ascii="Book Antiqua" w:hAnsi="Book Antiqua" w:cs="Helvetica"/>
          <w:lang w:val="en-US"/>
        </w:rPr>
        <w:t xml:space="preserve">there is a problem for my argument </w:t>
      </w:r>
      <w:r>
        <w:rPr>
          <w:rFonts w:ascii="Book Antiqua" w:hAnsi="Book Antiqua" w:cs="Helvetica"/>
          <w:lang w:val="en-US"/>
        </w:rPr>
        <w:t xml:space="preserve">whether we conclude that not all objectification is objectionable or that </w:t>
      </w:r>
      <w:r w:rsidR="00DA2B11">
        <w:rPr>
          <w:rFonts w:ascii="Book Antiqua" w:hAnsi="Book Antiqua" w:cs="Helvetica"/>
          <w:lang w:val="en-US"/>
        </w:rPr>
        <w:t xml:space="preserve">not all instances involving denial of autonomy and subjectivity, inertness or </w:t>
      </w:r>
      <w:r w:rsidR="00DA2B11">
        <w:rPr>
          <w:rFonts w:ascii="Book Antiqua" w:hAnsi="Book Antiqua" w:cs="Helvetica"/>
          <w:lang w:val="en-US"/>
        </w:rPr>
        <w:lastRenderedPageBreak/>
        <w:t xml:space="preserve">violability etc. count as objectification. </w:t>
      </w:r>
      <w:r w:rsidR="00094EFB">
        <w:rPr>
          <w:rFonts w:ascii="Book Antiqua" w:hAnsi="Book Antiqua" w:cs="Helvetica"/>
          <w:lang w:val="en-US"/>
        </w:rPr>
        <w:t xml:space="preserve">I still need to defend either the claim that the objectification involved in the </w:t>
      </w:r>
      <w:r w:rsidR="00FB7CBE">
        <w:rPr>
          <w:rFonts w:ascii="Book Antiqua" w:hAnsi="Book Antiqua" w:cs="Helvetica"/>
          <w:lang w:val="en-US"/>
        </w:rPr>
        <w:t>Model of M</w:t>
      </w:r>
      <w:r w:rsidR="00094EFB">
        <w:rPr>
          <w:rFonts w:ascii="Book Antiqua" w:hAnsi="Book Antiqua" w:cs="Helvetica"/>
          <w:lang w:val="en-US"/>
        </w:rPr>
        <w:t xml:space="preserve">otherhood is objectionable or </w:t>
      </w:r>
      <w:r w:rsidR="00FB7CBE">
        <w:rPr>
          <w:rFonts w:ascii="Book Antiqua" w:hAnsi="Book Antiqua" w:cs="Helvetica"/>
          <w:lang w:val="en-US"/>
        </w:rPr>
        <w:t>the</w:t>
      </w:r>
      <w:r w:rsidR="00094EFB">
        <w:rPr>
          <w:rFonts w:ascii="Book Antiqua" w:hAnsi="Book Antiqua" w:cs="Helvetica"/>
          <w:lang w:val="en-US"/>
        </w:rPr>
        <w:t xml:space="preserve"> claim that the features I’ve picked out count as objectification in these cases.  </w:t>
      </w:r>
      <w:r w:rsidR="002E2063">
        <w:rPr>
          <w:rFonts w:ascii="Book Antiqua" w:hAnsi="Book Antiqua" w:cs="Helvetica"/>
          <w:lang w:val="en-US"/>
        </w:rPr>
        <w:t xml:space="preserve">The </w:t>
      </w:r>
      <w:r w:rsidR="00094EFB">
        <w:rPr>
          <w:rFonts w:ascii="Book Antiqua" w:hAnsi="Book Antiqua" w:cs="Helvetica"/>
          <w:lang w:val="en-US"/>
        </w:rPr>
        <w:t>common underlying worry</w:t>
      </w:r>
      <w:r w:rsidR="002E2063">
        <w:rPr>
          <w:rFonts w:ascii="Book Antiqua" w:hAnsi="Book Antiqua" w:cs="Helvetica"/>
          <w:lang w:val="en-US"/>
        </w:rPr>
        <w:t xml:space="preserve"> is that our understanding of motherhood appears problematic because it treats mothers as if they lack certain properties which have long been thought to be crucial for human dignity:  autonomy, inviolability, </w:t>
      </w:r>
      <w:r w:rsidR="00BB2C1E">
        <w:rPr>
          <w:rFonts w:ascii="Book Antiqua" w:hAnsi="Book Antiqua" w:cs="Helvetica"/>
          <w:lang w:val="en-US"/>
        </w:rPr>
        <w:t>not being treated as</w:t>
      </w:r>
      <w:r w:rsidR="002E2063">
        <w:rPr>
          <w:rFonts w:ascii="Book Antiqua" w:hAnsi="Book Antiqua" w:cs="Helvetica"/>
          <w:lang w:val="en-US"/>
        </w:rPr>
        <w:t xml:space="preserve"> a tool for the purposes of others.  One response to this problem is to change our understanding of motherhood.  Another is to change our understanding of what</w:t>
      </w:r>
      <w:r w:rsidR="00EF13AF">
        <w:rPr>
          <w:rFonts w:ascii="Book Antiqua" w:hAnsi="Book Antiqua" w:cs="Helvetica"/>
          <w:lang w:val="en-US"/>
        </w:rPr>
        <w:t xml:space="preserve"> is necessary for human dignity, to claim that the prevailing understanding of human dignity </w:t>
      </w:r>
      <w:r w:rsidR="003D6243">
        <w:rPr>
          <w:rFonts w:ascii="Book Antiqua" w:hAnsi="Book Antiqua" w:cs="Helvetica"/>
          <w:lang w:val="en-US"/>
        </w:rPr>
        <w:t>ignores crucial aspects of human life and, in particular, fails to apply to pregnancy and motherhood.</w:t>
      </w:r>
      <w:r w:rsidR="00094EFB">
        <w:rPr>
          <w:rFonts w:ascii="Book Antiqua" w:hAnsi="Book Antiqua" w:cs="Helvetica"/>
          <w:lang w:val="en-US"/>
        </w:rPr>
        <w:t xml:space="preserve">  The objection suggests that</w:t>
      </w:r>
      <w:r w:rsidR="001C0E74">
        <w:rPr>
          <w:rFonts w:ascii="Book Antiqua" w:hAnsi="Book Antiqua" w:cs="Helvetica"/>
          <w:lang w:val="en-US"/>
        </w:rPr>
        <w:t xml:space="preserve"> we should adopt the latter course.</w:t>
      </w:r>
    </w:p>
    <w:p w14:paraId="6BBA0C38" w14:textId="379A1F73" w:rsidR="00F35D57" w:rsidRDefault="00F35D57" w:rsidP="00154AC5">
      <w:pPr>
        <w:spacing w:line="360" w:lineRule="auto"/>
        <w:ind w:firstLine="720"/>
        <w:jc w:val="both"/>
        <w:rPr>
          <w:rFonts w:ascii="Book Antiqua" w:hAnsi="Book Antiqua" w:cs="Helvetica"/>
          <w:lang w:val="en-US"/>
        </w:rPr>
      </w:pPr>
      <w:r>
        <w:rPr>
          <w:rFonts w:ascii="Book Antiqua" w:hAnsi="Book Antiqua" w:cs="Helvetica"/>
          <w:lang w:val="en-US"/>
        </w:rPr>
        <w:t xml:space="preserve">I suggest that we should adopt a middle course, recognizing that both our understanding of motherhood and the prevailing understanding of what is necessary for human dignity need to change. </w:t>
      </w:r>
      <w:r w:rsidR="001C0E74">
        <w:rPr>
          <w:rFonts w:ascii="Book Antiqua" w:hAnsi="Book Antiqua" w:cs="Helvetica"/>
          <w:lang w:val="en-US"/>
        </w:rPr>
        <w:t xml:space="preserve">  </w:t>
      </w:r>
      <w:r w:rsidR="008106D7">
        <w:rPr>
          <w:rFonts w:ascii="Book Antiqua" w:hAnsi="Book Antiqua" w:cs="Helvetica"/>
          <w:lang w:val="en-US"/>
        </w:rPr>
        <w:t xml:space="preserve">Thinking about motherhood, as well as the examples discussed by Nussbaum and Green, does highlight important inadequacies in the classic understanding of personhood.  </w:t>
      </w:r>
      <w:r w:rsidR="003D6243">
        <w:rPr>
          <w:rFonts w:ascii="Book Antiqua" w:hAnsi="Book Antiqua" w:cs="Helvetica"/>
          <w:lang w:val="en-US"/>
        </w:rPr>
        <w:t xml:space="preserve">We should be willing to recognize that part of the value of </w:t>
      </w:r>
      <w:r w:rsidR="00CE2FD4">
        <w:rPr>
          <w:rFonts w:ascii="Book Antiqua" w:hAnsi="Book Antiqua" w:cs="Helvetica"/>
          <w:lang w:val="en-US"/>
        </w:rPr>
        <w:t>motherhood</w:t>
      </w:r>
      <w:r w:rsidR="003D6243">
        <w:rPr>
          <w:rFonts w:ascii="Book Antiqua" w:hAnsi="Book Antiqua" w:cs="Helvetica"/>
          <w:lang w:val="en-US"/>
        </w:rPr>
        <w:t xml:space="preserve"> </w:t>
      </w:r>
      <w:r w:rsidR="008106D7">
        <w:rPr>
          <w:rFonts w:ascii="Book Antiqua" w:hAnsi="Book Antiqua" w:cs="Helvetica"/>
          <w:lang w:val="en-US"/>
        </w:rPr>
        <w:t xml:space="preserve">lies precisely in the way in which </w:t>
      </w:r>
      <w:r w:rsidR="00CE2FD4">
        <w:rPr>
          <w:rFonts w:ascii="Book Antiqua" w:hAnsi="Book Antiqua" w:cs="Helvetica"/>
          <w:lang w:val="en-US"/>
        </w:rPr>
        <w:t>it</w:t>
      </w:r>
      <w:r w:rsidR="008106D7">
        <w:rPr>
          <w:rFonts w:ascii="Book Antiqua" w:hAnsi="Book Antiqua" w:cs="Helvetica"/>
          <w:lang w:val="en-US"/>
        </w:rPr>
        <w:t xml:space="preserve"> disrupt</w:t>
      </w:r>
      <w:r w:rsidR="00CE2FD4">
        <w:rPr>
          <w:rFonts w:ascii="Book Antiqua" w:hAnsi="Book Antiqua" w:cs="Helvetica"/>
          <w:lang w:val="en-US"/>
        </w:rPr>
        <w:t>s</w:t>
      </w:r>
      <w:r w:rsidR="008106D7">
        <w:rPr>
          <w:rFonts w:ascii="Book Antiqua" w:hAnsi="Book Antiqua" w:cs="Helvetica"/>
          <w:lang w:val="en-US"/>
        </w:rPr>
        <w:t xml:space="preserve"> our existence as discrete, autonomous individuals, for example blurring </w:t>
      </w:r>
      <w:r w:rsidR="003D6243">
        <w:rPr>
          <w:rFonts w:ascii="Book Antiqua" w:hAnsi="Book Antiqua" w:cs="Helvetica"/>
          <w:lang w:val="en-US"/>
        </w:rPr>
        <w:t>typical boundaries between individuals.</w:t>
      </w:r>
      <w:r w:rsidR="00A144B3">
        <w:rPr>
          <w:rFonts w:ascii="Book Antiqua" w:hAnsi="Book Antiqua" w:cs="Helvetica"/>
          <w:lang w:val="en-US"/>
        </w:rPr>
        <w:t xml:space="preserve">  </w:t>
      </w:r>
      <w:r w:rsidR="003D6243">
        <w:rPr>
          <w:rFonts w:ascii="Book Antiqua" w:hAnsi="Book Antiqua" w:cs="Helvetica"/>
          <w:lang w:val="en-US"/>
        </w:rPr>
        <w:t xml:space="preserve">Nonetheless, there </w:t>
      </w:r>
      <w:r w:rsidR="00094EFB">
        <w:rPr>
          <w:rFonts w:ascii="Book Antiqua" w:hAnsi="Book Antiqua" w:cs="Helvetica"/>
          <w:lang w:val="en-US"/>
        </w:rPr>
        <w:t xml:space="preserve">is still </w:t>
      </w:r>
      <w:r>
        <w:rPr>
          <w:rFonts w:ascii="Book Antiqua" w:hAnsi="Book Antiqua" w:cs="Helvetica"/>
          <w:lang w:val="en-US"/>
        </w:rPr>
        <w:t>(</w:t>
      </w:r>
      <w:r w:rsidR="00094EFB">
        <w:rPr>
          <w:rFonts w:ascii="Book Antiqua" w:hAnsi="Book Antiqua" w:cs="Helvetica"/>
          <w:lang w:val="en-US"/>
        </w:rPr>
        <w:t>objectionable</w:t>
      </w:r>
      <w:r>
        <w:rPr>
          <w:rFonts w:ascii="Book Antiqua" w:hAnsi="Book Antiqua" w:cs="Helvetica"/>
          <w:lang w:val="en-US"/>
        </w:rPr>
        <w:t>)</w:t>
      </w:r>
      <w:r w:rsidR="003D6243">
        <w:rPr>
          <w:rFonts w:ascii="Book Antiqua" w:hAnsi="Book Antiqua" w:cs="Helvetica"/>
          <w:lang w:val="en-US"/>
        </w:rPr>
        <w:t xml:space="preserve"> objectification involved in the common understanding of motherhood.</w:t>
      </w:r>
      <w:r w:rsidR="005A72ED">
        <w:rPr>
          <w:rFonts w:ascii="Book Antiqua" w:hAnsi="Book Antiqua" w:cs="Helvetica"/>
          <w:lang w:val="en-US"/>
        </w:rPr>
        <w:t xml:space="preserve">  </w:t>
      </w:r>
    </w:p>
    <w:p w14:paraId="29792438" w14:textId="27735286" w:rsidR="00842C13" w:rsidRDefault="005A72ED" w:rsidP="00154AC5">
      <w:pPr>
        <w:spacing w:line="360" w:lineRule="auto"/>
        <w:ind w:firstLine="720"/>
        <w:jc w:val="both"/>
        <w:rPr>
          <w:rFonts w:ascii="Book Antiqua" w:hAnsi="Book Antiqua" w:cs="Helvetica"/>
          <w:lang w:val="en-US"/>
        </w:rPr>
      </w:pPr>
      <w:r>
        <w:rPr>
          <w:rFonts w:ascii="Book Antiqua" w:hAnsi="Book Antiqua" w:cs="Helvetica"/>
          <w:lang w:val="en-US"/>
        </w:rPr>
        <w:t xml:space="preserve">The most worrying aspect of the </w:t>
      </w:r>
      <w:r w:rsidR="00FB7CBE">
        <w:rPr>
          <w:rFonts w:ascii="Book Antiqua" w:hAnsi="Book Antiqua" w:cs="Helvetica"/>
          <w:lang w:val="en-US"/>
        </w:rPr>
        <w:t>Model of M</w:t>
      </w:r>
      <w:r>
        <w:rPr>
          <w:rFonts w:ascii="Book Antiqua" w:hAnsi="Book Antiqua" w:cs="Helvetica"/>
          <w:lang w:val="en-US"/>
        </w:rPr>
        <w:t xml:space="preserve">otherhood is its coercive aspect.  As I argued earlier, breastfeeding ‘on demand’ can be lovely, but the type of culture imagery described by Kukla in which women do not feel that they have the right to refuse the use of their own bodies is deeply worrying.  The wonderfulness of the willing blurring of boundaries </w:t>
      </w:r>
      <w:r w:rsidR="00FB7CBE">
        <w:rPr>
          <w:rFonts w:ascii="Book Antiqua" w:hAnsi="Book Antiqua" w:cs="Helvetica"/>
          <w:lang w:val="en-US"/>
        </w:rPr>
        <w:t xml:space="preserve">in the examples described by Lawrence </w:t>
      </w:r>
      <w:r>
        <w:rPr>
          <w:rFonts w:ascii="Book Antiqua" w:hAnsi="Book Antiqua" w:cs="Helvetica"/>
          <w:lang w:val="en-US"/>
        </w:rPr>
        <w:t xml:space="preserve">seems to absolutely depend upon both parties having control over their own boundaries – </w:t>
      </w:r>
      <w:r>
        <w:rPr>
          <w:rFonts w:ascii="Book Antiqua" w:hAnsi="Book Antiqua" w:cs="Helvetica"/>
          <w:lang w:val="en-US"/>
        </w:rPr>
        <w:lastRenderedPageBreak/>
        <w:t xml:space="preserve">having the right to say no.  As we have seen, the </w:t>
      </w:r>
      <w:r w:rsidR="00FB7CBE">
        <w:rPr>
          <w:rFonts w:ascii="Book Antiqua" w:hAnsi="Book Antiqua" w:cs="Helvetica"/>
          <w:lang w:val="en-US"/>
        </w:rPr>
        <w:t>Model of M</w:t>
      </w:r>
      <w:r>
        <w:rPr>
          <w:rFonts w:ascii="Book Antiqua" w:hAnsi="Book Antiqua" w:cs="Helvetica"/>
          <w:lang w:val="en-US"/>
        </w:rPr>
        <w:t xml:space="preserve">otherhood does not leave mothers feeling as if they have the right to say no. </w:t>
      </w:r>
      <w:r w:rsidR="00F93C28">
        <w:rPr>
          <w:rFonts w:ascii="Book Antiqua" w:hAnsi="Book Antiqua" w:cs="Helvetica"/>
          <w:lang w:val="en-US"/>
        </w:rPr>
        <w:t>The coercion occurs in several ways.  First, by explicitly subsuming the mother’s wellbeing to that of the infant</w:t>
      </w:r>
      <w:r w:rsidR="006F6ED3">
        <w:rPr>
          <w:rFonts w:ascii="Book Antiqua" w:hAnsi="Book Antiqua" w:cs="Helvetica"/>
          <w:lang w:val="en-US"/>
        </w:rPr>
        <w:t xml:space="preserve"> and by giving the child ‘ownership’ over parts of the woman’s body.  </w:t>
      </w:r>
      <w:r w:rsidR="00F93C28">
        <w:rPr>
          <w:rFonts w:ascii="Book Antiqua" w:hAnsi="Book Antiqua" w:cs="Helvetica"/>
          <w:lang w:val="en-US"/>
        </w:rPr>
        <w:t xml:space="preserve">Second, by making statements about what mothers do, feel or want that purport to be descriptive but are also taken to have normative implications i.e. to provide a standard for measuring mothers.  These descriptive/ normative statements mean </w:t>
      </w:r>
      <w:r w:rsidR="00F93C28">
        <w:rPr>
          <w:rFonts w:ascii="Book Antiqua" w:hAnsi="Book Antiqua" w:cs="Helvetica"/>
        </w:rPr>
        <w:t xml:space="preserve">the </w:t>
      </w:r>
      <w:r w:rsidR="00FB7CBE">
        <w:rPr>
          <w:rFonts w:ascii="Book Antiqua" w:hAnsi="Book Antiqua" w:cs="Helvetica"/>
        </w:rPr>
        <w:t>Model of M</w:t>
      </w:r>
      <w:r w:rsidR="00F93C28">
        <w:rPr>
          <w:rFonts w:ascii="Book Antiqua" w:hAnsi="Book Antiqua" w:cs="Helvetica"/>
        </w:rPr>
        <w:t xml:space="preserve">otherhood does not simply offer an option for women.  It is presented as the only way in which to be a good mother.  The way in which the </w:t>
      </w:r>
      <w:r w:rsidR="00FB7CBE">
        <w:rPr>
          <w:rFonts w:ascii="Book Antiqua" w:hAnsi="Book Antiqua" w:cs="Helvetica"/>
        </w:rPr>
        <w:t>Model of M</w:t>
      </w:r>
      <w:r w:rsidR="00F93C28">
        <w:rPr>
          <w:rFonts w:ascii="Book Antiqua" w:hAnsi="Book Antiqua" w:cs="Helvetica"/>
        </w:rPr>
        <w:t>otherhood limits the choices of all mothers would still be a problem even if, for some mothers, this role represented something ‘wonderful’.</w:t>
      </w:r>
      <w:r w:rsidR="00F93C28">
        <w:rPr>
          <w:rFonts w:ascii="Book Antiqua" w:hAnsi="Book Antiqua" w:cs="Helvetica"/>
          <w:lang w:val="en-US"/>
        </w:rPr>
        <w:t xml:space="preserve"> </w:t>
      </w:r>
    </w:p>
    <w:p w14:paraId="1D2DAC69" w14:textId="11B47AF3" w:rsidR="004E437A" w:rsidRDefault="00842C13" w:rsidP="00154AC5">
      <w:pPr>
        <w:spacing w:line="360" w:lineRule="auto"/>
        <w:ind w:firstLine="720"/>
        <w:jc w:val="both"/>
        <w:rPr>
          <w:rFonts w:ascii="Book Antiqua" w:hAnsi="Book Antiqua" w:cs="Helvetica"/>
          <w:lang w:val="en-US"/>
        </w:rPr>
      </w:pPr>
      <w:r>
        <w:rPr>
          <w:rFonts w:ascii="Book Antiqua" w:hAnsi="Book Antiqua" w:cs="Helvetica"/>
          <w:lang w:val="en-US"/>
        </w:rPr>
        <w:t xml:space="preserve">But even if willingly, even happily, adopted, there is something morally problematic about this role.  </w:t>
      </w:r>
      <w:r w:rsidR="003D6243">
        <w:rPr>
          <w:rFonts w:ascii="Book Antiqua" w:hAnsi="Book Antiqua" w:cs="Helvetica"/>
          <w:lang w:val="en-US"/>
        </w:rPr>
        <w:t xml:space="preserve">First, the instrumentalisation involved in the </w:t>
      </w:r>
      <w:r w:rsidR="00326DE1">
        <w:rPr>
          <w:rFonts w:ascii="Book Antiqua" w:hAnsi="Book Antiqua" w:cs="Helvetica"/>
          <w:lang w:val="en-US"/>
        </w:rPr>
        <w:t>Model of M</w:t>
      </w:r>
      <w:r w:rsidR="003D6243">
        <w:rPr>
          <w:rFonts w:ascii="Book Antiqua" w:hAnsi="Book Antiqua" w:cs="Helvetica"/>
          <w:lang w:val="en-US"/>
        </w:rPr>
        <w:t>otherhood is extreme.</w:t>
      </w:r>
      <w:r>
        <w:rPr>
          <w:rFonts w:ascii="Book Antiqua" w:hAnsi="Book Antiqua" w:cs="Helvetica"/>
          <w:lang w:val="en-US"/>
        </w:rPr>
        <w:t xml:space="preserve">  Remember the prescription from that Mother’s Day advert:  </w:t>
      </w:r>
      <w:r>
        <w:rPr>
          <w:rFonts w:ascii="Book Antiqua" w:hAnsi="Book Antiqua" w:cs="Helvetica"/>
        </w:rPr>
        <w:t xml:space="preserve">“If you had a life, we’d really ask you to give that life up.”  In the </w:t>
      </w:r>
      <w:r w:rsidR="00326DE1">
        <w:rPr>
          <w:rFonts w:ascii="Book Antiqua" w:hAnsi="Book Antiqua" w:cs="Helvetica"/>
        </w:rPr>
        <w:t>Model of M</w:t>
      </w:r>
      <w:r>
        <w:rPr>
          <w:rFonts w:ascii="Book Antiqua" w:hAnsi="Book Antiqua" w:cs="Helvetica"/>
        </w:rPr>
        <w:t xml:space="preserve">otherhood, mothers are not just treated as means to the happiness and wellbeing of their children.  Instead, their own well-being and happiness is utterly subsumed in the wellbeing and happiness of their children.  They are expected to be </w:t>
      </w:r>
      <w:r w:rsidR="004E437A">
        <w:rPr>
          <w:rFonts w:ascii="Book Antiqua" w:hAnsi="Book Antiqua" w:cs="Helvetica"/>
        </w:rPr>
        <w:t>prepared to sacrifice all other</w:t>
      </w:r>
      <w:r>
        <w:rPr>
          <w:rFonts w:ascii="Book Antiqua" w:hAnsi="Book Antiqua" w:cs="Helvetica"/>
        </w:rPr>
        <w:t xml:space="preserve"> aspects of their life for the child’s wellbeing.  This </w:t>
      </w:r>
      <w:r w:rsidR="00326DE1">
        <w:rPr>
          <w:rFonts w:ascii="Book Antiqua" w:hAnsi="Book Antiqua" w:cs="Helvetica"/>
        </w:rPr>
        <w:t xml:space="preserve"> extreme </w:t>
      </w:r>
      <w:r>
        <w:rPr>
          <w:rFonts w:ascii="Book Antiqua" w:hAnsi="Book Antiqua" w:cs="Helvetica"/>
        </w:rPr>
        <w:t xml:space="preserve">instrumentalisation </w:t>
      </w:r>
      <w:r w:rsidR="004E437A">
        <w:rPr>
          <w:rFonts w:ascii="Book Antiqua" w:hAnsi="Book Antiqua" w:cs="Helvetica"/>
        </w:rPr>
        <w:t>does</w:t>
      </w:r>
      <w:r>
        <w:rPr>
          <w:rFonts w:ascii="Book Antiqua" w:hAnsi="Book Antiqua" w:cs="Helvetica"/>
        </w:rPr>
        <w:t xml:space="preserve"> not just treat the mother as a means to her ch</w:t>
      </w:r>
      <w:r w:rsidR="00436ABE">
        <w:rPr>
          <w:rFonts w:ascii="Book Antiqua" w:hAnsi="Book Antiqua" w:cs="Helvetica"/>
        </w:rPr>
        <w:t xml:space="preserve">ild’s happiness, but </w:t>
      </w:r>
      <w:r>
        <w:rPr>
          <w:rFonts w:ascii="Book Antiqua" w:hAnsi="Book Antiqua" w:cs="Helvetica"/>
        </w:rPr>
        <w:t>treat</w:t>
      </w:r>
      <w:r w:rsidR="00436ABE">
        <w:rPr>
          <w:rFonts w:ascii="Book Antiqua" w:hAnsi="Book Antiqua" w:cs="Helvetica"/>
        </w:rPr>
        <w:t>s</w:t>
      </w:r>
      <w:r>
        <w:rPr>
          <w:rFonts w:ascii="Book Antiqua" w:hAnsi="Book Antiqua" w:cs="Helvetica"/>
        </w:rPr>
        <w:t xml:space="preserve"> her </w:t>
      </w:r>
      <w:r>
        <w:rPr>
          <w:rFonts w:ascii="Book Antiqua" w:hAnsi="Book Antiqua" w:cs="Helvetica"/>
          <w:i/>
        </w:rPr>
        <w:t>merely</w:t>
      </w:r>
      <w:r>
        <w:rPr>
          <w:rFonts w:ascii="Book Antiqua" w:hAnsi="Book Antiqua" w:cs="Helvetica"/>
        </w:rPr>
        <w:t xml:space="preserve"> as a means, failing to recognise that her happiness and wellbeing matters in its own right.  </w:t>
      </w:r>
      <w:r w:rsidR="006364EC">
        <w:rPr>
          <w:rFonts w:ascii="Book Antiqua" w:hAnsi="Book Antiqua" w:cs="Helvetica"/>
          <w:lang w:val="en-US"/>
        </w:rPr>
        <w:t>Nussbaum argues that Lawrentian objectification is benign in part because it is symmetrical and mutual, and undertaken in a context of mutual respect and rough social equality.</w:t>
      </w:r>
      <w:r w:rsidR="006364EC">
        <w:rPr>
          <w:rStyle w:val="FootnoteReference"/>
          <w:rFonts w:ascii="Book Antiqua" w:hAnsi="Book Antiqua" w:cs="Helvetica"/>
          <w:lang w:val="en-US"/>
        </w:rPr>
        <w:footnoteReference w:id="62"/>
      </w:r>
      <w:r w:rsidR="006364EC">
        <w:rPr>
          <w:rFonts w:ascii="Book Antiqua" w:hAnsi="Book Antiqua" w:cs="Helvetica"/>
          <w:lang w:val="en-US"/>
        </w:rPr>
        <w:t xml:space="preserve">  The objectification in the </w:t>
      </w:r>
      <w:r w:rsidR="00326DE1">
        <w:rPr>
          <w:rFonts w:ascii="Book Antiqua" w:hAnsi="Book Antiqua" w:cs="Helvetica"/>
          <w:lang w:val="en-US"/>
        </w:rPr>
        <w:t>Model of Motherhood</w:t>
      </w:r>
      <w:r w:rsidR="006364EC">
        <w:rPr>
          <w:rFonts w:ascii="Book Antiqua" w:hAnsi="Book Antiqua" w:cs="Helvetica"/>
          <w:lang w:val="en-US"/>
        </w:rPr>
        <w:t xml:space="preserve"> does not meet these conditions.  For according to </w:t>
      </w:r>
      <w:r w:rsidR="006364EC">
        <w:rPr>
          <w:rFonts w:ascii="Book Antiqua" w:hAnsi="Book Antiqua" w:cs="Helvetica"/>
          <w:lang w:val="en-US"/>
        </w:rPr>
        <w:lastRenderedPageBreak/>
        <w:t xml:space="preserve">the </w:t>
      </w:r>
      <w:r w:rsidR="00326DE1">
        <w:rPr>
          <w:rFonts w:ascii="Book Antiqua" w:hAnsi="Book Antiqua" w:cs="Helvetica"/>
          <w:lang w:val="en-US"/>
        </w:rPr>
        <w:t>Model of M</w:t>
      </w:r>
      <w:r w:rsidR="006364EC">
        <w:rPr>
          <w:rFonts w:ascii="Book Antiqua" w:hAnsi="Book Antiqua" w:cs="Helvetica"/>
          <w:lang w:val="en-US"/>
        </w:rPr>
        <w:t>otherhood, the mother is less important than her children: their needs matter; hers do not.</w:t>
      </w:r>
      <w:r w:rsidR="006364EC">
        <w:rPr>
          <w:rStyle w:val="FootnoteReference"/>
          <w:rFonts w:ascii="Book Antiqua" w:hAnsi="Book Antiqua" w:cs="Helvetica"/>
          <w:lang w:val="en-US"/>
        </w:rPr>
        <w:footnoteReference w:id="63"/>
      </w:r>
      <w:r w:rsidR="006364EC">
        <w:rPr>
          <w:rFonts w:ascii="Book Antiqua" w:hAnsi="Book Antiqua" w:cs="Helvetica"/>
          <w:lang w:val="en-US"/>
        </w:rPr>
        <w:t xml:space="preserve"> </w:t>
      </w:r>
    </w:p>
    <w:p w14:paraId="0B3DBB1C" w14:textId="4E198D8E" w:rsidR="00A144B3" w:rsidRDefault="001507EB" w:rsidP="00154AC5">
      <w:pPr>
        <w:spacing w:line="360" w:lineRule="auto"/>
        <w:ind w:firstLine="720"/>
        <w:jc w:val="both"/>
        <w:rPr>
          <w:rFonts w:ascii="Book Antiqua" w:hAnsi="Book Antiqua" w:cs="Helvetica"/>
        </w:rPr>
      </w:pPr>
      <w:r>
        <w:rPr>
          <w:rFonts w:ascii="Book Antiqua" w:hAnsi="Book Antiqua" w:cs="Helvetica"/>
        </w:rPr>
        <w:t>Differences in time-frame are also important.</w:t>
      </w:r>
      <w:r w:rsidR="00842C13">
        <w:rPr>
          <w:rFonts w:ascii="Book Antiqua" w:hAnsi="Book Antiqua" w:cs="Helvetica"/>
        </w:rPr>
        <w:t xml:space="preserve"> </w:t>
      </w:r>
      <w:r>
        <w:rPr>
          <w:rFonts w:ascii="Book Antiqua" w:hAnsi="Book Antiqua" w:cs="Helvetica"/>
        </w:rPr>
        <w:t>T</w:t>
      </w:r>
      <w:r w:rsidR="00842C13">
        <w:rPr>
          <w:rFonts w:ascii="Book Antiqua" w:hAnsi="Book Antiqua" w:cs="Helvetica"/>
        </w:rPr>
        <w:t xml:space="preserve">he voluntary renunciation of individual autonomy and boundaries in the sexual episodes described by Lawrence occurs during a short session of sexual activity, after which normal </w:t>
      </w:r>
      <w:r>
        <w:rPr>
          <w:rFonts w:ascii="Book Antiqua" w:hAnsi="Book Antiqua" w:cs="Helvetica"/>
        </w:rPr>
        <w:t>service is, presumably, resumed. The renunciation of autonomy and boundaries</w:t>
      </w:r>
      <w:r w:rsidR="00842C13">
        <w:rPr>
          <w:rFonts w:ascii="Book Antiqua" w:hAnsi="Book Antiqua" w:cs="Helvetica"/>
        </w:rPr>
        <w:t xml:space="preserve"> demanded by the </w:t>
      </w:r>
      <w:r w:rsidR="00323C1E">
        <w:rPr>
          <w:rFonts w:ascii="Book Antiqua" w:hAnsi="Book Antiqua" w:cs="Helvetica"/>
        </w:rPr>
        <w:t>Model of M</w:t>
      </w:r>
      <w:r w:rsidR="00842C13">
        <w:rPr>
          <w:rFonts w:ascii="Book Antiqua" w:hAnsi="Book Antiqua" w:cs="Helvetica"/>
        </w:rPr>
        <w:t xml:space="preserve">otherhood is long-term.  Pregnancy and motherhood takes up significant periods of many women’s lives.  Suppose we assume, at a conservative estimate, that the period of intense mothering and utter subsumption of self is supposed to last until the child is five years old. If a woman has one child, then </w:t>
      </w:r>
      <w:r w:rsidR="00696AA8">
        <w:rPr>
          <w:rFonts w:ascii="Book Antiqua" w:hAnsi="Book Antiqua" w:cs="Helvetica"/>
        </w:rPr>
        <w:t>she will be required to live without boundaries for almost six years.  If she has two children with an age gap of two years</w:t>
      </w:r>
      <w:r w:rsidR="00205A0C">
        <w:rPr>
          <w:rFonts w:ascii="Book Antiqua" w:hAnsi="Book Antiqua" w:cs="Helvetica"/>
        </w:rPr>
        <w:t xml:space="preserve"> each time</w:t>
      </w:r>
      <w:r w:rsidR="00696AA8">
        <w:rPr>
          <w:rFonts w:ascii="Book Antiqua" w:hAnsi="Book Antiqua" w:cs="Helvetica"/>
        </w:rPr>
        <w:t xml:space="preserve">, then it will be eight years.  If she has three children with a two year age gap, it will be a decade.  Clearly there is a huge difference between the temporary boundary softening described by Lawrence ad Nussbaum and this </w:t>
      </w:r>
      <w:r w:rsidR="00323C1E">
        <w:rPr>
          <w:rFonts w:ascii="Book Antiqua" w:hAnsi="Book Antiqua" w:cs="Helvetica"/>
        </w:rPr>
        <w:t>semi-</w:t>
      </w:r>
      <w:r w:rsidR="00696AA8">
        <w:rPr>
          <w:rFonts w:ascii="Book Antiqua" w:hAnsi="Book Antiqua" w:cs="Helvetica"/>
        </w:rPr>
        <w:t>perman</w:t>
      </w:r>
      <w:r w:rsidR="001876AF">
        <w:rPr>
          <w:rFonts w:ascii="Book Antiqua" w:hAnsi="Book Antiqua" w:cs="Helvetica"/>
        </w:rPr>
        <w:t xml:space="preserve">ent setting aside of boundaries. </w:t>
      </w:r>
    </w:p>
    <w:p w14:paraId="4AF1756E" w14:textId="2782D2BE" w:rsidR="007C4001" w:rsidRPr="00742AC2" w:rsidRDefault="00B05A46" w:rsidP="00154AC5">
      <w:pPr>
        <w:spacing w:line="360" w:lineRule="auto"/>
        <w:ind w:firstLine="720"/>
        <w:jc w:val="both"/>
        <w:rPr>
          <w:rFonts w:ascii="Book Antiqua" w:hAnsi="Book Antiqua" w:cs="Helvetica"/>
        </w:rPr>
      </w:pPr>
      <w:r>
        <w:rPr>
          <w:rFonts w:ascii="Book Antiqua" w:hAnsi="Book Antiqua" w:cs="Helvetica"/>
        </w:rPr>
        <w:t xml:space="preserve">Our current understanding of motherhood involves objectionable objectification because it is (a) coercive, presented as the only way in which to be a good mother; (b) extreme, requiring the total subsumption of the mother’s needs and (c) long term.  The third feature seems pretty much unavoidable: motherhood should not be reduced to a brief encounter.  This means that we need to be extra-careful with the ways in which mothers are treated as objects.  If we are to revise our understanding of motherhood so that it doesn’t involve objectionable objectification, we need to ensure that the object-like features of </w:t>
      </w:r>
      <w:r>
        <w:rPr>
          <w:rFonts w:ascii="Book Antiqua" w:hAnsi="Book Antiqua" w:cs="Helvetica"/>
        </w:rPr>
        <w:lastRenderedPageBreak/>
        <w:t>motherhood are co</w:t>
      </w:r>
      <w:r w:rsidR="00B32613">
        <w:rPr>
          <w:rFonts w:ascii="Book Antiqua" w:hAnsi="Book Antiqua" w:cs="Helvetica"/>
        </w:rPr>
        <w:t>mpatible with human dignity as long-term</w:t>
      </w:r>
      <w:r>
        <w:rPr>
          <w:rFonts w:ascii="Book Antiqua" w:hAnsi="Book Antiqua" w:cs="Helvetica"/>
        </w:rPr>
        <w:t xml:space="preserve"> conditions of </w:t>
      </w:r>
      <w:r w:rsidR="00B32613">
        <w:rPr>
          <w:rFonts w:ascii="Book Antiqua" w:hAnsi="Book Antiqua" w:cs="Helvetica"/>
        </w:rPr>
        <w:t>ordinary life.  This is an additional reason to ensure that the object-like features of the revised understanding of motherhood are neither extreme nor coercive.  Mothers should not be expected to give up all sense of themselves as discrete individuals nor feel as if they have no right to demand respect for the boundaries of their bodies.  In addition, it should be recognised that there are many different ways of being, feeling and acting as a mother. This is, I think, compatible with recognising what motherhood can teach us about the value of objectivity in human life and with valuing motherhood, in part because of its disruption of individualism.</w:t>
      </w:r>
    </w:p>
    <w:p w14:paraId="2DC84708" w14:textId="77777777" w:rsidR="00D853E6" w:rsidRDefault="00D853E6" w:rsidP="00154AC5">
      <w:pPr>
        <w:spacing w:line="360" w:lineRule="auto"/>
        <w:jc w:val="both"/>
        <w:rPr>
          <w:rFonts w:ascii="Book Antiqua" w:hAnsi="Book Antiqua" w:cs="Helvetica"/>
        </w:rPr>
      </w:pPr>
    </w:p>
    <w:p w14:paraId="7759BF04" w14:textId="4901F6BC" w:rsidR="00D853E6" w:rsidRDefault="00D853E6" w:rsidP="00154AC5">
      <w:pPr>
        <w:spacing w:line="360" w:lineRule="auto"/>
        <w:jc w:val="both"/>
        <w:rPr>
          <w:rFonts w:ascii="Book Antiqua" w:hAnsi="Book Antiqua" w:cs="Helvetica"/>
        </w:rPr>
      </w:pPr>
      <w:r>
        <w:rPr>
          <w:rFonts w:ascii="Book Antiqua" w:hAnsi="Book Antiqua" w:cs="Helvetica"/>
          <w:b/>
        </w:rPr>
        <w:t>Other Accounts of Objectification</w:t>
      </w:r>
    </w:p>
    <w:p w14:paraId="6189476A" w14:textId="37DAFFA1" w:rsidR="00D853E6" w:rsidRDefault="00D853E6" w:rsidP="00154AC5">
      <w:pPr>
        <w:spacing w:line="360" w:lineRule="auto"/>
        <w:jc w:val="both"/>
        <w:rPr>
          <w:rFonts w:ascii="Book Antiqua" w:hAnsi="Book Antiqua" w:cs="Helvetica"/>
          <w:lang w:val="en-US"/>
        </w:rPr>
      </w:pPr>
      <w:r>
        <w:rPr>
          <w:rFonts w:ascii="Book Antiqua" w:hAnsi="Book Antiqua" w:cs="Helvetica"/>
        </w:rPr>
        <w:t>I have focused on the Nussbaum/ Langton account of objectification.  However, the discussion also has implications for other prominent accounts.</w:t>
      </w:r>
      <w:r>
        <w:rPr>
          <w:rStyle w:val="FootnoteReference"/>
          <w:rFonts w:ascii="Book Antiqua" w:hAnsi="Book Antiqua" w:cs="Helvetica"/>
        </w:rPr>
        <w:footnoteReference w:id="64"/>
      </w:r>
      <w:r>
        <w:rPr>
          <w:rFonts w:ascii="Book Antiqua" w:hAnsi="Book Antiqua" w:cs="Helvetica"/>
        </w:rPr>
        <w:t xml:space="preserve">   The classic Dworkin/MacKinnon account puts pornography at the centre of objectification.  Po</w:t>
      </w:r>
      <w:r w:rsidR="0017084C">
        <w:rPr>
          <w:rFonts w:ascii="Book Antiqua" w:hAnsi="Book Antiqua" w:cs="Helvetica"/>
        </w:rPr>
        <w:t>rnography reduces women to tool</w:t>
      </w:r>
      <w:r>
        <w:rPr>
          <w:rFonts w:ascii="Book Antiqua" w:hAnsi="Book Antiqua" w:cs="Helvetica"/>
        </w:rPr>
        <w:t xml:space="preserve">s for men’s sexual use:  </w:t>
      </w:r>
      <w:r w:rsidRPr="007C1FB9">
        <w:rPr>
          <w:rFonts w:ascii="Book Antiqua" w:hAnsi="Book Antiqua" w:cs="Helvetica"/>
          <w:lang w:val="en-US"/>
        </w:rPr>
        <w:t xml:space="preserve">“Pornography </w:t>
      </w:r>
      <w:r w:rsidRPr="007C1FB9">
        <w:rPr>
          <w:rFonts w:ascii="Book Antiqua" w:hAnsi="Book Antiqua" w:cs="Helvetica"/>
          <w:i/>
          <w:iCs/>
          <w:lang w:val="en-US"/>
        </w:rPr>
        <w:t>participates</w:t>
      </w:r>
      <w:r w:rsidRPr="007C1FB9">
        <w:rPr>
          <w:rFonts w:ascii="Book Antiqua" w:hAnsi="Book Antiqua" w:cs="Helvetica"/>
          <w:lang w:val="en-US"/>
        </w:rPr>
        <w:t xml:space="preserve"> in its audience's eroticism through creating an accessible sexual object, the possession and consumption of which </w:t>
      </w:r>
      <w:r w:rsidRPr="007C1FB9">
        <w:rPr>
          <w:rFonts w:ascii="Book Antiqua" w:hAnsi="Book Antiqua" w:cs="Helvetica"/>
          <w:i/>
          <w:iCs/>
          <w:lang w:val="en-US"/>
        </w:rPr>
        <w:t>is</w:t>
      </w:r>
      <w:r w:rsidRPr="007C1FB9">
        <w:rPr>
          <w:rFonts w:ascii="Book Antiqua" w:hAnsi="Book Antiqua" w:cs="Helvetica"/>
          <w:lang w:val="en-US"/>
        </w:rPr>
        <w:t xml:space="preserve"> male sexuality, as socially constructed; to be consumed and possessed as which, </w:t>
      </w:r>
      <w:r w:rsidRPr="007C1FB9">
        <w:rPr>
          <w:rFonts w:ascii="Book Antiqua" w:hAnsi="Book Antiqua" w:cs="Helvetica"/>
          <w:i/>
          <w:iCs/>
          <w:lang w:val="en-US"/>
        </w:rPr>
        <w:t>is</w:t>
      </w:r>
      <w:r w:rsidRPr="007C1FB9">
        <w:rPr>
          <w:rFonts w:ascii="Book Antiqua" w:hAnsi="Book Antiqua" w:cs="Helvetica"/>
          <w:lang w:val="en-US"/>
        </w:rPr>
        <w:t xml:space="preserve"> female sexua</w:t>
      </w:r>
      <w:r w:rsidR="00F0234B">
        <w:rPr>
          <w:rFonts w:ascii="Book Antiqua" w:hAnsi="Book Antiqua" w:cs="Helvetica"/>
          <w:lang w:val="en-US"/>
        </w:rPr>
        <w:t>lity, as socially constructed.”</w:t>
      </w:r>
      <w:r w:rsidR="00F0234B">
        <w:rPr>
          <w:rStyle w:val="FootnoteReference"/>
          <w:rFonts w:ascii="Book Antiqua" w:hAnsi="Book Antiqua" w:cs="Helvetica"/>
          <w:lang w:val="en-US"/>
        </w:rPr>
        <w:footnoteReference w:id="65"/>
      </w:r>
      <w:r>
        <w:rPr>
          <w:rFonts w:ascii="Book Antiqua" w:hAnsi="Book Antiqua" w:cs="Helvetica"/>
          <w:lang w:val="en-US"/>
        </w:rPr>
        <w:t xml:space="preserve">  A key criticism of the Dworkin/ MacKinnon account is that it focuses too narrowly on women’s sexual objectification through pornography.  Partly in response to this, both Susan Bordo and Sandra Bartky have developed accounts of objectification which focus more widely on the way in which women are treated, and come to treat themselves, as aesthetic objects to be gazed at and decorated.  This both reduces a woman to her body and alienates her from her body as she </w:t>
      </w:r>
      <w:r>
        <w:rPr>
          <w:rFonts w:ascii="Book Antiqua" w:hAnsi="Book Antiqua" w:cs="Helvetica"/>
          <w:lang w:val="en-US"/>
        </w:rPr>
        <w:lastRenderedPageBreak/>
        <w:t xml:space="preserve">takes the attitude </w:t>
      </w:r>
      <w:r w:rsidR="00F0234B">
        <w:rPr>
          <w:rFonts w:ascii="Book Antiqua" w:hAnsi="Book Antiqua" w:cs="Helvetica"/>
          <w:lang w:val="en-US"/>
        </w:rPr>
        <w:t>of an outsider towards herself</w:t>
      </w:r>
      <w:r>
        <w:rPr>
          <w:rFonts w:ascii="Book Antiqua" w:hAnsi="Book Antiqua" w:cs="Helvetica"/>
          <w:lang w:val="en-US"/>
        </w:rPr>
        <w:t>.</w:t>
      </w:r>
      <w:r w:rsidR="00F0234B">
        <w:rPr>
          <w:rStyle w:val="FootnoteReference"/>
          <w:rFonts w:ascii="Book Antiqua" w:hAnsi="Book Antiqua" w:cs="Helvetica"/>
          <w:lang w:val="en-US"/>
        </w:rPr>
        <w:footnoteReference w:id="66"/>
      </w:r>
      <w:r>
        <w:rPr>
          <w:rFonts w:ascii="Book Antiqua" w:hAnsi="Book Antiqua" w:cs="Helvetica"/>
          <w:lang w:val="en-US"/>
        </w:rPr>
        <w:t xml:space="preserve">  Sally Haslanger offers a very different account, which</w:t>
      </w:r>
      <w:r w:rsidRPr="00127F8B">
        <w:rPr>
          <w:rFonts w:ascii="Book Antiqua" w:hAnsi="Book Antiqua" w:cs="Helvetica"/>
          <w:lang w:val="en-US"/>
        </w:rPr>
        <w:t xml:space="preserve"> takes objectification to </w:t>
      </w:r>
      <w:r>
        <w:rPr>
          <w:rFonts w:ascii="Book Antiqua" w:hAnsi="Book Antiqua" w:cs="Helvetica"/>
          <w:lang w:val="en-US"/>
        </w:rPr>
        <w:t xml:space="preserve">be a partially epistemic stance.  This stance has two features:  first, </w:t>
      </w:r>
      <w:r w:rsidR="00F0234B">
        <w:rPr>
          <w:rFonts w:ascii="Book Antiqua" w:hAnsi="Book Antiqua" w:cs="Helvetica"/>
          <w:lang w:val="en-US"/>
        </w:rPr>
        <w:t>the powerful</w:t>
      </w:r>
      <w:r w:rsidRPr="00127F8B">
        <w:rPr>
          <w:rFonts w:ascii="Book Antiqua" w:hAnsi="Book Antiqua" w:cs="Helvetica"/>
          <w:lang w:val="en-US"/>
        </w:rPr>
        <w:t xml:space="preserve"> take the way the world seems to </w:t>
      </w:r>
      <w:r w:rsidRPr="00127F8B">
        <w:rPr>
          <w:rFonts w:ascii="Book Antiqua" w:hAnsi="Book Antiqua" w:cs="Helvetica"/>
          <w:i/>
          <w:iCs/>
          <w:lang w:val="en-US"/>
        </w:rPr>
        <w:t>them</w:t>
      </w:r>
      <w:r w:rsidRPr="00127F8B">
        <w:rPr>
          <w:rFonts w:ascii="Book Antiqua" w:hAnsi="Book Antiqua" w:cs="Helvetica"/>
          <w:lang w:val="en-US"/>
        </w:rPr>
        <w:t xml:space="preserve"> to be the </w:t>
      </w:r>
      <w:r w:rsidRPr="00127F8B">
        <w:rPr>
          <w:rFonts w:ascii="Book Antiqua" w:hAnsi="Book Antiqua" w:cs="Helvetica"/>
          <w:i/>
          <w:iCs/>
          <w:lang w:val="en-US"/>
        </w:rPr>
        <w:t xml:space="preserve">objective </w:t>
      </w:r>
      <w:r>
        <w:rPr>
          <w:rFonts w:ascii="Book Antiqua" w:hAnsi="Book Antiqua" w:cs="Helvetica"/>
          <w:lang w:val="en-US"/>
        </w:rPr>
        <w:t xml:space="preserve">view of the world, so that </w:t>
      </w:r>
      <w:r w:rsidR="00F0234B">
        <w:rPr>
          <w:rFonts w:ascii="Book Antiqua" w:hAnsi="Book Antiqua" w:cs="Helvetica"/>
          <w:lang w:val="en-US"/>
        </w:rPr>
        <w:t>their viewpoint</w:t>
      </w:r>
      <w:r w:rsidRPr="00127F8B">
        <w:rPr>
          <w:rFonts w:ascii="Book Antiqua" w:hAnsi="Book Antiqua" w:cs="Helvetica"/>
          <w:lang w:val="en-US"/>
        </w:rPr>
        <w:t xml:space="preserve"> i</w:t>
      </w:r>
      <w:r>
        <w:rPr>
          <w:rFonts w:ascii="Book Antiqua" w:hAnsi="Book Antiqua" w:cs="Helvetica"/>
          <w:lang w:val="en-US"/>
        </w:rPr>
        <w:t>s the</w:t>
      </w:r>
      <w:r w:rsidRPr="00127F8B">
        <w:rPr>
          <w:rFonts w:ascii="Book Antiqua" w:hAnsi="Book Antiqua" w:cs="Helvetica"/>
          <w:lang w:val="en-US"/>
        </w:rPr>
        <w:t xml:space="preserve"> </w:t>
      </w:r>
      <w:r w:rsidR="00F0234B">
        <w:rPr>
          <w:rFonts w:ascii="Book Antiqua" w:hAnsi="Book Antiqua" w:cs="Helvetica"/>
          <w:lang w:val="en-US"/>
        </w:rPr>
        <w:t>‘objective’</w:t>
      </w:r>
      <w:r>
        <w:rPr>
          <w:rFonts w:ascii="Book Antiqua" w:hAnsi="Book Antiqua" w:cs="Helvetica"/>
          <w:lang w:val="en-US"/>
        </w:rPr>
        <w:t xml:space="preserve"> viewpoint and </w:t>
      </w:r>
      <w:r w:rsidRPr="00127F8B">
        <w:rPr>
          <w:rFonts w:ascii="Book Antiqua" w:hAnsi="Book Antiqua" w:cs="Helvetica"/>
          <w:lang w:val="en-US"/>
        </w:rPr>
        <w:t>every</w:t>
      </w:r>
      <w:r w:rsidR="00F0234B">
        <w:rPr>
          <w:rFonts w:ascii="Book Antiqua" w:hAnsi="Book Antiqua" w:cs="Helvetica"/>
          <w:lang w:val="en-US"/>
        </w:rPr>
        <w:t>one else’</w:t>
      </w:r>
      <w:r w:rsidR="00DA5609">
        <w:rPr>
          <w:rFonts w:ascii="Book Antiqua" w:hAnsi="Book Antiqua" w:cs="Helvetica"/>
          <w:lang w:val="en-US"/>
        </w:rPr>
        <w:t xml:space="preserve">s is subjective or </w:t>
      </w:r>
      <w:r>
        <w:rPr>
          <w:rFonts w:ascii="Book Antiqua" w:hAnsi="Book Antiqua" w:cs="Helvetica"/>
          <w:lang w:val="en-US"/>
        </w:rPr>
        <w:t xml:space="preserve">biased; </w:t>
      </w:r>
      <w:r w:rsidRPr="00127F8B">
        <w:rPr>
          <w:rFonts w:ascii="Book Antiqua" w:hAnsi="Book Antiqua" w:cs="Helvetica"/>
          <w:lang w:val="en-US"/>
        </w:rPr>
        <w:t>second</w:t>
      </w:r>
      <w:r>
        <w:rPr>
          <w:rFonts w:ascii="Book Antiqua" w:hAnsi="Book Antiqua" w:cs="Helvetica"/>
          <w:lang w:val="en-US"/>
        </w:rPr>
        <w:t>,</w:t>
      </w:r>
      <w:r w:rsidRPr="00127F8B">
        <w:rPr>
          <w:rFonts w:ascii="Book Antiqua" w:hAnsi="Book Antiqua" w:cs="Helvetica"/>
          <w:lang w:val="en-US"/>
        </w:rPr>
        <w:t xml:space="preserve"> the powerful </w:t>
      </w:r>
      <w:r>
        <w:rPr>
          <w:rFonts w:ascii="Book Antiqua" w:hAnsi="Book Antiqua" w:cs="Helvetica"/>
          <w:lang w:val="en-US"/>
        </w:rPr>
        <w:t>then</w:t>
      </w:r>
      <w:r w:rsidRPr="00127F8B">
        <w:rPr>
          <w:rFonts w:ascii="Book Antiqua" w:hAnsi="Book Antiqua" w:cs="Helvetica"/>
          <w:lang w:val="en-US"/>
        </w:rPr>
        <w:t xml:space="preserve"> force the world to behave in a way tha</w:t>
      </w:r>
      <w:r w:rsidR="00F0234B">
        <w:rPr>
          <w:rFonts w:ascii="Book Antiqua" w:hAnsi="Book Antiqua" w:cs="Helvetica"/>
          <w:lang w:val="en-US"/>
        </w:rPr>
        <w:t>t fits how it ‘objectively’ seems</w:t>
      </w:r>
      <w:r w:rsidRPr="00127F8B">
        <w:rPr>
          <w:rFonts w:ascii="Book Antiqua" w:hAnsi="Book Antiqua" w:cs="Helvetica"/>
          <w:lang w:val="en-US"/>
        </w:rPr>
        <w:t xml:space="preserve"> to them</w:t>
      </w:r>
      <w:r w:rsidR="00F0234B">
        <w:rPr>
          <w:rFonts w:ascii="Book Antiqua" w:hAnsi="Book Antiqua" w:cs="Helvetica"/>
          <w:lang w:val="en-US"/>
        </w:rPr>
        <w:t xml:space="preserve">.  Thus, for example, </w:t>
      </w:r>
      <w:r w:rsidRPr="00127F8B">
        <w:rPr>
          <w:rFonts w:ascii="Book Antiqua" w:hAnsi="Book Antiqua" w:cs="Helvetica"/>
          <w:lang w:val="en-US"/>
        </w:rPr>
        <w:t xml:space="preserve">women </w:t>
      </w:r>
      <w:r w:rsidR="00F0234B">
        <w:rPr>
          <w:rFonts w:ascii="Book Antiqua" w:hAnsi="Book Antiqua" w:cs="Helvetica"/>
          <w:lang w:val="en-US"/>
        </w:rPr>
        <w:t xml:space="preserve">are forced </w:t>
      </w:r>
      <w:r w:rsidRPr="00127F8B">
        <w:rPr>
          <w:rFonts w:ascii="Book Antiqua" w:hAnsi="Book Antiqua" w:cs="Helvetica"/>
          <w:lang w:val="en-US"/>
        </w:rPr>
        <w:t>to behave in certain way</w:t>
      </w:r>
      <w:r w:rsidR="00F0234B">
        <w:rPr>
          <w:rFonts w:ascii="Book Antiqua" w:hAnsi="Book Antiqua" w:cs="Helvetica"/>
          <w:lang w:val="en-US"/>
        </w:rPr>
        <w:t xml:space="preserve"> by appeal to some ‘objective’ truth</w:t>
      </w:r>
      <w:r w:rsidRPr="00127F8B">
        <w:rPr>
          <w:rFonts w:ascii="Book Antiqua" w:hAnsi="Book Antiqua" w:cs="Helvetica"/>
          <w:lang w:val="en-US"/>
        </w:rPr>
        <w:t>.</w:t>
      </w:r>
      <w:r w:rsidR="00F0234B">
        <w:rPr>
          <w:rStyle w:val="FootnoteReference"/>
          <w:rFonts w:ascii="Book Antiqua" w:hAnsi="Book Antiqua" w:cs="Helvetica"/>
          <w:lang w:val="en-US"/>
        </w:rPr>
        <w:footnoteReference w:id="67"/>
      </w:r>
    </w:p>
    <w:p w14:paraId="6A85AB03" w14:textId="343B09B4" w:rsidR="00D853E6" w:rsidRDefault="00D853E6" w:rsidP="00154AC5">
      <w:pPr>
        <w:spacing w:line="360" w:lineRule="auto"/>
        <w:jc w:val="both"/>
        <w:rPr>
          <w:rFonts w:ascii="Book Antiqua" w:hAnsi="Book Antiqua" w:cs="Helvetica"/>
          <w:lang w:val="en-US"/>
        </w:rPr>
      </w:pPr>
      <w:r>
        <w:rPr>
          <w:rFonts w:ascii="Book Antiqua" w:hAnsi="Book Antiqua" w:cs="Helvetica"/>
          <w:lang w:val="en-US"/>
        </w:rPr>
        <w:tab/>
        <w:t xml:space="preserve">We see aspects of all these ways of understanding objectification in the </w:t>
      </w:r>
      <w:r w:rsidR="00DA5609">
        <w:rPr>
          <w:rFonts w:ascii="Book Antiqua" w:hAnsi="Book Antiqua" w:cs="Helvetica"/>
          <w:lang w:val="en-US"/>
        </w:rPr>
        <w:t>Model of M</w:t>
      </w:r>
      <w:r>
        <w:rPr>
          <w:rFonts w:ascii="Book Antiqua" w:hAnsi="Book Antiqua" w:cs="Helvetica"/>
          <w:lang w:val="en-US"/>
        </w:rPr>
        <w:t xml:space="preserve">otherhood.  The </w:t>
      </w:r>
      <w:r w:rsidR="00DA5609">
        <w:rPr>
          <w:rFonts w:ascii="Book Antiqua" w:hAnsi="Book Antiqua" w:cs="Helvetica"/>
          <w:lang w:val="en-US"/>
        </w:rPr>
        <w:t>Model of M</w:t>
      </w:r>
      <w:r>
        <w:rPr>
          <w:rFonts w:ascii="Book Antiqua" w:hAnsi="Book Antiqua" w:cs="Helvetica"/>
          <w:lang w:val="en-US"/>
        </w:rPr>
        <w:t>otherhood involves objectification in Haslanger’s sense</w:t>
      </w:r>
      <w:r w:rsidRPr="002E32A4">
        <w:rPr>
          <w:rFonts w:ascii="Book Antiqua" w:hAnsi="Book Antiqua" w:cs="Helvetica"/>
          <w:lang w:val="en-US"/>
        </w:rPr>
        <w:t xml:space="preserve"> because </w:t>
      </w:r>
      <w:r>
        <w:rPr>
          <w:rFonts w:ascii="Book Antiqua" w:hAnsi="Book Antiqua" w:cs="Helvetica"/>
          <w:lang w:val="en-US"/>
        </w:rPr>
        <w:t>it claims</w:t>
      </w:r>
      <w:r w:rsidRPr="002E32A4">
        <w:rPr>
          <w:rFonts w:ascii="Book Antiqua" w:hAnsi="Book Antiqua" w:cs="Helvetica"/>
          <w:lang w:val="en-US"/>
        </w:rPr>
        <w:t xml:space="preserve"> that women a</w:t>
      </w:r>
      <w:r>
        <w:rPr>
          <w:rFonts w:ascii="Book Antiqua" w:hAnsi="Book Antiqua" w:cs="Helvetica"/>
          <w:lang w:val="en-US"/>
        </w:rPr>
        <w:t>re</w:t>
      </w:r>
      <w:r w:rsidRPr="002E32A4">
        <w:rPr>
          <w:rFonts w:ascii="Book Antiqua" w:hAnsi="Book Antiqua" w:cs="Helvetica"/>
          <w:lang w:val="en-US"/>
        </w:rPr>
        <w:t xml:space="preserve"> </w:t>
      </w:r>
      <w:r w:rsidRPr="002E32A4">
        <w:rPr>
          <w:rFonts w:ascii="Book Antiqua" w:hAnsi="Book Antiqua" w:cs="Helvetica"/>
          <w:i/>
          <w:iCs/>
          <w:lang w:val="en-US"/>
        </w:rPr>
        <w:t>objectively</w:t>
      </w:r>
      <w:r w:rsidRPr="002E32A4">
        <w:rPr>
          <w:rFonts w:ascii="Book Antiqua" w:hAnsi="Book Antiqua" w:cs="Helvetica"/>
          <w:lang w:val="en-US"/>
        </w:rPr>
        <w:t xml:space="preserve"> nurturing, focused on their infants, self-sacrificing, </w:t>
      </w:r>
      <w:r>
        <w:rPr>
          <w:rFonts w:ascii="Book Antiqua" w:hAnsi="Book Antiqua" w:cs="Helvetica"/>
          <w:lang w:val="en-US"/>
        </w:rPr>
        <w:t>without clear boundaries</w:t>
      </w:r>
      <w:r w:rsidRPr="002E32A4">
        <w:rPr>
          <w:rFonts w:ascii="Book Antiqua" w:hAnsi="Book Antiqua" w:cs="Helvetica"/>
          <w:lang w:val="en-US"/>
        </w:rPr>
        <w:t>, etc</w:t>
      </w:r>
      <w:r>
        <w:rPr>
          <w:rFonts w:ascii="Book Antiqua" w:hAnsi="Book Antiqua" w:cs="Helvetica"/>
          <w:lang w:val="en-US"/>
        </w:rPr>
        <w:t xml:space="preserve">.  These claims to objectivity are then used to police women’s behaviour, forcing them to become as the </w:t>
      </w:r>
      <w:r w:rsidR="00DA5609">
        <w:rPr>
          <w:rFonts w:ascii="Book Antiqua" w:hAnsi="Book Antiqua" w:cs="Helvetica"/>
          <w:lang w:val="en-US"/>
        </w:rPr>
        <w:t>Model of M</w:t>
      </w:r>
      <w:r>
        <w:rPr>
          <w:rFonts w:ascii="Book Antiqua" w:hAnsi="Book Antiqua" w:cs="Helvetica"/>
          <w:lang w:val="en-US"/>
        </w:rPr>
        <w:t xml:space="preserve">otherhood pictures them to be, </w:t>
      </w:r>
      <w:r w:rsidRPr="002E32A4">
        <w:rPr>
          <w:rFonts w:ascii="Book Antiqua" w:hAnsi="Book Antiqua" w:cs="Helvetica"/>
          <w:lang w:val="en-US"/>
        </w:rPr>
        <w:t xml:space="preserve">in all the ways </w:t>
      </w:r>
      <w:r w:rsidR="00BE4884">
        <w:rPr>
          <w:rFonts w:ascii="Book Antiqua" w:hAnsi="Book Antiqua" w:cs="Helvetica"/>
          <w:lang w:val="en-US"/>
        </w:rPr>
        <w:t>discussed above</w:t>
      </w:r>
      <w:r w:rsidRPr="002E32A4">
        <w:rPr>
          <w:rFonts w:ascii="Book Antiqua" w:hAnsi="Book Antiqua" w:cs="Helvetica"/>
          <w:lang w:val="en-US"/>
        </w:rPr>
        <w:t>.</w:t>
      </w:r>
      <w:r>
        <w:rPr>
          <w:rFonts w:ascii="Book Antiqua" w:hAnsi="Book Antiqua" w:cs="Helvetica"/>
          <w:lang w:val="en-US"/>
        </w:rPr>
        <w:t xml:space="preserve">  The </w:t>
      </w:r>
      <w:r w:rsidR="00DA5609">
        <w:rPr>
          <w:rFonts w:ascii="Book Antiqua" w:hAnsi="Book Antiqua" w:cs="Helvetica"/>
          <w:lang w:val="en-US"/>
        </w:rPr>
        <w:t>Model of M</w:t>
      </w:r>
      <w:r>
        <w:rPr>
          <w:rFonts w:ascii="Book Antiqua" w:hAnsi="Book Antiqua" w:cs="Helvetica"/>
          <w:lang w:val="en-US"/>
        </w:rPr>
        <w:t>otherhood involves both treating the female body as something to be “consumed and possessed” (</w:t>
      </w:r>
      <w:r w:rsidR="00DA5609">
        <w:rPr>
          <w:rFonts w:ascii="Book Antiqua" w:hAnsi="Book Antiqua" w:cs="Helvetica"/>
          <w:lang w:val="en-US"/>
        </w:rPr>
        <w:t xml:space="preserve">as in the </w:t>
      </w:r>
      <w:r>
        <w:rPr>
          <w:rFonts w:ascii="Book Antiqua" w:hAnsi="Book Antiqua" w:cs="Helvetica"/>
          <w:lang w:val="en-US"/>
        </w:rPr>
        <w:t>MacKinnon / Dworkin</w:t>
      </w:r>
      <w:r w:rsidR="00DA5609">
        <w:rPr>
          <w:rFonts w:ascii="Book Antiqua" w:hAnsi="Book Antiqua" w:cs="Helvetica"/>
          <w:lang w:val="en-US"/>
        </w:rPr>
        <w:t xml:space="preserve"> understanding of objectification</w:t>
      </w:r>
      <w:r>
        <w:rPr>
          <w:rFonts w:ascii="Book Antiqua" w:hAnsi="Book Antiqua" w:cs="Helvetica"/>
          <w:lang w:val="en-US"/>
        </w:rPr>
        <w:t>) and causes women to become alienated from their own bodies by coming to see them as objects (</w:t>
      </w:r>
      <w:r w:rsidR="00DA5609">
        <w:rPr>
          <w:rFonts w:ascii="Book Antiqua" w:hAnsi="Book Antiqua" w:cs="Helvetica"/>
          <w:lang w:val="en-US"/>
        </w:rPr>
        <w:t xml:space="preserve">as in </w:t>
      </w:r>
      <w:r>
        <w:rPr>
          <w:rFonts w:ascii="Book Antiqua" w:hAnsi="Book Antiqua" w:cs="Helvetica"/>
          <w:lang w:val="en-US"/>
        </w:rPr>
        <w:t>Bordo and Bartky</w:t>
      </w:r>
      <w:r w:rsidR="00DA5609">
        <w:rPr>
          <w:rFonts w:ascii="Book Antiqua" w:hAnsi="Book Antiqua" w:cs="Helvetica"/>
          <w:lang w:val="en-US"/>
        </w:rPr>
        <w:t>’s understanding of objectification</w:t>
      </w:r>
      <w:r>
        <w:rPr>
          <w:rFonts w:ascii="Book Antiqua" w:hAnsi="Book Antiqua" w:cs="Helvetica"/>
          <w:lang w:val="en-US"/>
        </w:rPr>
        <w:t xml:space="preserve">).  However, consideration of objectification in the context of the </w:t>
      </w:r>
      <w:r w:rsidR="001A5233">
        <w:rPr>
          <w:rFonts w:ascii="Book Antiqua" w:hAnsi="Book Antiqua" w:cs="Helvetica"/>
          <w:lang w:val="en-US"/>
        </w:rPr>
        <w:t>Model of M</w:t>
      </w:r>
      <w:r>
        <w:rPr>
          <w:rFonts w:ascii="Book Antiqua" w:hAnsi="Book Antiqua" w:cs="Helvetica"/>
          <w:lang w:val="en-US"/>
        </w:rPr>
        <w:t xml:space="preserve">otherhood shows that </w:t>
      </w:r>
      <w:r w:rsidRPr="00C45F00">
        <w:rPr>
          <w:rFonts w:ascii="Book Antiqua" w:hAnsi="Book Antiqua" w:cs="Helvetica"/>
          <w:i/>
          <w:lang w:val="en-US"/>
        </w:rPr>
        <w:t>both</w:t>
      </w:r>
      <w:r>
        <w:rPr>
          <w:rFonts w:ascii="Book Antiqua" w:hAnsi="Book Antiqua" w:cs="Helvetica"/>
          <w:lang w:val="en-US"/>
        </w:rPr>
        <w:t xml:space="preserve"> the MacKinnon/ Dworkin </w:t>
      </w:r>
      <w:r w:rsidRPr="00FA4EBE">
        <w:rPr>
          <w:rFonts w:ascii="Book Antiqua" w:hAnsi="Book Antiqua" w:cs="Helvetica"/>
          <w:i/>
          <w:lang w:val="en-US"/>
        </w:rPr>
        <w:t>and</w:t>
      </w:r>
      <w:r>
        <w:rPr>
          <w:rFonts w:ascii="Book Antiqua" w:hAnsi="Book Antiqua" w:cs="Helvetica"/>
          <w:lang w:val="en-US"/>
        </w:rPr>
        <w:t xml:space="preserve"> the Bordo/ Bartky understanding of objectification are too narrow.  Not all gendered objectification is primarily about treating women as aesthetic or sexual objects. For the reduction of women to aesthetic or sexual objects – whose primary purpose is to be looked at – is accompanied by the reduction of women </w:t>
      </w:r>
      <w:r w:rsidR="00BE4884">
        <w:rPr>
          <w:rFonts w:ascii="Book Antiqua" w:hAnsi="Book Antiqua" w:cs="Helvetica"/>
          <w:lang w:val="en-US"/>
        </w:rPr>
        <w:t>to</w:t>
      </w:r>
      <w:r>
        <w:rPr>
          <w:rFonts w:ascii="Book Antiqua" w:hAnsi="Book Antiqua" w:cs="Helvetica"/>
          <w:lang w:val="en-US"/>
        </w:rPr>
        <w:t xml:space="preserve"> reproductive tools – whose primary purpose is to have and bring up </w:t>
      </w:r>
      <w:r>
        <w:rPr>
          <w:rFonts w:ascii="Book Antiqua" w:hAnsi="Book Antiqua" w:cs="Helvetica"/>
          <w:lang w:val="en-US"/>
        </w:rPr>
        <w:lastRenderedPageBreak/>
        <w:t>babies.  The existence of a different, but equally troubling, form of objectification should not be surprising. The old dichotomy that a woman must be a Madonna or a whore is well known.  Being a Madonna, like being a whore, involves ultimately being for others rather than for oneself.</w:t>
      </w:r>
      <w:r>
        <w:rPr>
          <w:rStyle w:val="FootnoteReference"/>
          <w:rFonts w:ascii="Book Antiqua" w:hAnsi="Book Antiqua" w:cs="Helvetica"/>
          <w:lang w:val="en-US"/>
        </w:rPr>
        <w:footnoteReference w:id="68"/>
      </w:r>
    </w:p>
    <w:p w14:paraId="443D4161" w14:textId="70907F53" w:rsidR="004F16D3" w:rsidRDefault="00D853E6" w:rsidP="00154AC5">
      <w:pPr>
        <w:spacing w:line="360" w:lineRule="auto"/>
        <w:jc w:val="both"/>
      </w:pPr>
      <w:r>
        <w:rPr>
          <w:rFonts w:ascii="Book Antiqua" w:hAnsi="Book Antiqua" w:cs="Helvetica"/>
          <w:lang w:val="en-US"/>
        </w:rPr>
        <w:tab/>
      </w:r>
      <w:r w:rsidRPr="00BE4884">
        <w:t>Nancy Bauer (</w:t>
      </w:r>
      <w:r w:rsidRPr="00BE4884">
        <w:rPr>
          <w:i/>
        </w:rPr>
        <w:t>How To Do Things With Pornography)</w:t>
      </w:r>
      <w:r w:rsidRPr="00BE4884">
        <w:t xml:space="preserve"> expresses scepticism regarding the usefulness of analysis of concepts such as objectification.  </w:t>
      </w:r>
      <w:r w:rsidR="00BE4884" w:rsidRPr="00BE4884">
        <w:t>On Bauer’s view,</w:t>
      </w:r>
      <w:r w:rsidR="008E042B">
        <w:t xml:space="preserve"> terms like “sexual objectification”</w:t>
      </w:r>
      <w:r w:rsidR="00BE4884">
        <w:t xml:space="preserve"> make sense only from within a particular “worldview” or systematic normative understanding of the world.  For those with the appropriate normative commitments, the term </w:t>
      </w:r>
      <w:r w:rsidR="008E042B">
        <w:t>“sexual objectification”</w:t>
      </w:r>
      <w:r w:rsidR="00BE4884">
        <w:t xml:space="preserve"> will </w:t>
      </w:r>
      <w:r w:rsidR="008E042B">
        <w:t>“</w:t>
      </w:r>
      <w:r w:rsidR="00BE4884">
        <w:t>light up</w:t>
      </w:r>
      <w:r w:rsidR="008E042B">
        <w:t>”</w:t>
      </w:r>
      <w:r w:rsidR="00BE4884">
        <w:t xml:space="preserve"> the relevant phenomenon “and you will see it everywhere you look in contemporary culture”.</w:t>
      </w:r>
      <w:r w:rsidR="00BE4884">
        <w:rPr>
          <w:rStyle w:val="FootnoteReference"/>
        </w:rPr>
        <w:footnoteReference w:id="69"/>
      </w:r>
      <w:r w:rsidR="00BE4884">
        <w:t xml:space="preserve"> </w:t>
      </w:r>
      <w:r w:rsidR="004F16D3">
        <w:t xml:space="preserve"> Bauer argues that the ordinary intuitions of people with this kind of worldview will be more reliable in reflecting whether something counts as objectification than attempts to provide a set of criteria. </w:t>
      </w:r>
      <w:r w:rsidR="004F6C30">
        <w:t xml:space="preserve">On the other hand, if </w:t>
      </w:r>
      <w:r w:rsidR="004F16D3">
        <w:t>someone lacks the appropriate normative commitments, no attempt to specify criteria for the term will, from that person’s point of view, pick out any phenomenon at all.  People who have not previously understood the concept of sexual objectification come to do so not through reading analyses but through a shift in their understanding of the world and their place within it.  Philosophical analysis of objectification is helpful neither for those who already grasp the concept nor for those who lack it.</w:t>
      </w:r>
    </w:p>
    <w:p w14:paraId="6B6374EB" w14:textId="1AF80929" w:rsidR="00D853E6" w:rsidRPr="004F16D3" w:rsidRDefault="004F16D3" w:rsidP="00154AC5">
      <w:pPr>
        <w:spacing w:line="360" w:lineRule="auto"/>
        <w:ind w:firstLine="720"/>
        <w:jc w:val="both"/>
      </w:pPr>
      <w:r>
        <w:t>T</w:t>
      </w:r>
      <w:r w:rsidR="00D853E6" w:rsidRPr="00BE4884">
        <w:t xml:space="preserve">his paper may serve as </w:t>
      </w:r>
      <w:r>
        <w:t xml:space="preserve">response to Bauer.  First, it provides </w:t>
      </w:r>
      <w:r w:rsidR="00D853E6" w:rsidRPr="00BE4884">
        <w:t xml:space="preserve">an example of why analysis can be helpful.  The </w:t>
      </w:r>
      <w:r w:rsidR="00DA5609">
        <w:t>Model of M</w:t>
      </w:r>
      <w:r w:rsidR="008E042B">
        <w:t>otherhood may not “light up”</w:t>
      </w:r>
      <w:r w:rsidR="00D853E6" w:rsidRPr="00BE4884">
        <w:t xml:space="preserve"> as objectification until the features it shares with other objectionable forms of objectification are pointed out.</w:t>
      </w:r>
      <w:r>
        <w:t xml:space="preserve">  Second, the discussion in the section on non-objectionable objectification may explain why normative commitments can affect whether one sees a given </w:t>
      </w:r>
      <w:r>
        <w:lastRenderedPageBreak/>
        <w:t>phenomenon as objectification.  If I am correct, recognising certain behaviour as obj</w:t>
      </w:r>
      <w:r w:rsidR="008E042B">
        <w:t xml:space="preserve">ectifying involves seeing it </w:t>
      </w:r>
      <w:r>
        <w:t xml:space="preserve">as </w:t>
      </w:r>
      <w:r w:rsidR="008E042B">
        <w:t>treating someone in ways characteristic of our treatment of objects to an extent or in a way</w:t>
      </w:r>
      <w:r>
        <w:t xml:space="preserve"> that is incompatible with appropriate treatment</w:t>
      </w:r>
      <w:r w:rsidR="005C7EA3">
        <w:t xml:space="preserve"> of a person.  This means that your understanding of whether a given behaviour – or indeed any behaviour – counts as objectification will depend upon your understanding of the moral constraints on the treat</w:t>
      </w:r>
      <w:r w:rsidR="00C647C3">
        <w:t>ment of persons.   It also provides a response to Bauer’s objection that Nussbaum’s expansion of our und</w:t>
      </w:r>
      <w:r w:rsidR="00363745">
        <w:t>erstanding to include cases of “benign objectification”</w:t>
      </w:r>
      <w:r w:rsidR="00C647C3">
        <w:t xml:space="preserve"> distorts the concept, transforming it into “the philosopher’s dummy concept, not the one that helps us make sense of the world in which we find ourselves living.”</w:t>
      </w:r>
      <w:r w:rsidR="00C647C3">
        <w:rPr>
          <w:rStyle w:val="FootnoteReference"/>
        </w:rPr>
        <w:footnoteReference w:id="70"/>
      </w:r>
      <w:r w:rsidR="00C647C3">
        <w:t xml:space="preserve">  For, if I am correct, the examples described by Nussbaum should not be recognised as instances of objectification.   Nonetheless, as I have argued above, analysis of this concept can still be extremely useful, providing a clearer sense of the ways in which objectification involves inappropriate treatment.</w:t>
      </w:r>
    </w:p>
    <w:p w14:paraId="29AF530D" w14:textId="77777777" w:rsidR="00363295" w:rsidRDefault="00363295" w:rsidP="00154AC5">
      <w:pPr>
        <w:spacing w:line="360" w:lineRule="auto"/>
        <w:jc w:val="both"/>
        <w:rPr>
          <w:rFonts w:ascii="Book Antiqua" w:hAnsi="Book Antiqua" w:cs="Helvetica"/>
        </w:rPr>
      </w:pPr>
    </w:p>
    <w:p w14:paraId="7BAAE120" w14:textId="35E774EF" w:rsidR="00E53758" w:rsidRDefault="00E53758" w:rsidP="00154AC5">
      <w:pPr>
        <w:spacing w:line="360" w:lineRule="auto"/>
        <w:jc w:val="both"/>
        <w:rPr>
          <w:rFonts w:ascii="Book Antiqua" w:hAnsi="Book Antiqua" w:cs="Helvetica"/>
          <w:b/>
        </w:rPr>
      </w:pPr>
      <w:r>
        <w:rPr>
          <w:rFonts w:ascii="Book Antiqua" w:hAnsi="Book Antiqua" w:cs="Helvetica"/>
          <w:b/>
        </w:rPr>
        <w:t>Conclusion</w:t>
      </w:r>
    </w:p>
    <w:p w14:paraId="1A17CE0A" w14:textId="38842577" w:rsidR="00DA5609" w:rsidRDefault="00B6141D" w:rsidP="00154AC5">
      <w:pPr>
        <w:spacing w:line="360" w:lineRule="auto"/>
        <w:jc w:val="both"/>
        <w:rPr>
          <w:rFonts w:ascii="Book Antiqua" w:hAnsi="Book Antiqua" w:cs="Helvetica"/>
          <w:lang w:val="en-US"/>
        </w:rPr>
      </w:pPr>
      <w:r>
        <w:rPr>
          <w:rFonts w:ascii="Book Antiqua" w:hAnsi="Book Antiqua" w:cs="Helvetica"/>
        </w:rPr>
        <w:t xml:space="preserve">It is fruitful to consider our understanding of motherhood in the light of feminist discussions of objectification and to consider the concept of objectification in the light of motherhood.  Our understanding of motherhood is influenced by a picture of mothers as naturally, cheerfully self-sacrificing.  This picture, which I refer to as the Model of Motherhood, claims to be both descriptive and normative: it uses claims about what mothers naturally do, feel, and are as standards to assess real mothers.  I have argued that the Model </w:t>
      </w:r>
      <w:r>
        <w:rPr>
          <w:rFonts w:ascii="Book Antiqua" w:hAnsi="Book Antiqua" w:cs="Helvetica"/>
          <w:lang w:val="en-US"/>
        </w:rPr>
        <w:t>of M</w:t>
      </w:r>
      <w:r w:rsidR="00E53758">
        <w:rPr>
          <w:rFonts w:ascii="Book Antiqua" w:hAnsi="Book Antiqua" w:cs="Helvetica"/>
          <w:lang w:val="en-US"/>
        </w:rPr>
        <w:t>otherhood involves</w:t>
      </w:r>
      <w:r w:rsidR="00E53758">
        <w:rPr>
          <w:rFonts w:ascii="Book Antiqua" w:hAnsi="Book Antiqua" w:cs="Helvetica"/>
          <w:i/>
          <w:iCs/>
          <w:lang w:val="en-US"/>
        </w:rPr>
        <w:t xml:space="preserve"> </w:t>
      </w:r>
      <w:r w:rsidR="00E53758" w:rsidRPr="00176586">
        <w:rPr>
          <w:rFonts w:ascii="Book Antiqua" w:hAnsi="Book Antiqua" w:cs="Helvetica"/>
          <w:i/>
          <w:iCs/>
          <w:lang w:val="en-US"/>
        </w:rPr>
        <w:t>violability</w:t>
      </w:r>
      <w:r w:rsidR="00E53758">
        <w:rPr>
          <w:rFonts w:ascii="Book Antiqua" w:hAnsi="Book Antiqua" w:cs="Helvetica"/>
          <w:lang w:val="en-US"/>
        </w:rPr>
        <w:t>;</w:t>
      </w:r>
      <w:r w:rsidR="00E53758" w:rsidRPr="00176586">
        <w:rPr>
          <w:rFonts w:ascii="Book Antiqua" w:hAnsi="Book Antiqua" w:cs="Helvetica"/>
          <w:i/>
          <w:iCs/>
          <w:lang w:val="en-US"/>
        </w:rPr>
        <w:t xml:space="preserve"> reduction to body</w:t>
      </w:r>
      <w:r w:rsidR="00E53758">
        <w:rPr>
          <w:rFonts w:ascii="Book Antiqua" w:hAnsi="Book Antiqua" w:cs="Helvetica"/>
          <w:i/>
          <w:iCs/>
          <w:lang w:val="en-US"/>
        </w:rPr>
        <w:t xml:space="preserve">; ownership </w:t>
      </w:r>
      <w:r w:rsidR="00E53758">
        <w:rPr>
          <w:rFonts w:ascii="Book Antiqua" w:hAnsi="Book Antiqua" w:cs="Helvetica"/>
          <w:lang w:val="en-US"/>
        </w:rPr>
        <w:t xml:space="preserve">and </w:t>
      </w:r>
      <w:r w:rsidR="00E53758" w:rsidRPr="00176586">
        <w:rPr>
          <w:rFonts w:ascii="Book Antiqua" w:hAnsi="Book Antiqua" w:cs="Helvetica"/>
          <w:i/>
          <w:iCs/>
          <w:lang w:val="en-US"/>
        </w:rPr>
        <w:t>silencing</w:t>
      </w:r>
      <w:r w:rsidR="00E53758">
        <w:rPr>
          <w:rFonts w:ascii="Book Antiqua" w:hAnsi="Book Antiqua" w:cs="Helvetica"/>
          <w:lang w:val="en-US"/>
        </w:rPr>
        <w:t xml:space="preserve"> in a relatively straightforward way.  It involves </w:t>
      </w:r>
      <w:r w:rsidR="00E53758" w:rsidRPr="00B70CAF">
        <w:rPr>
          <w:rFonts w:ascii="Book Antiqua" w:hAnsi="Book Antiqua" w:cs="Helvetica"/>
          <w:i/>
          <w:iCs/>
          <w:lang w:val="en-US"/>
        </w:rPr>
        <w:t>instrumentality</w:t>
      </w:r>
      <w:r w:rsidR="00E53758">
        <w:rPr>
          <w:rFonts w:ascii="Book Antiqua" w:hAnsi="Book Antiqua" w:cs="Helvetica"/>
          <w:iCs/>
          <w:lang w:val="en-US"/>
        </w:rPr>
        <w:t xml:space="preserve">, </w:t>
      </w:r>
      <w:r w:rsidR="00E53758" w:rsidRPr="00B70CAF">
        <w:rPr>
          <w:rFonts w:ascii="Book Antiqua" w:hAnsi="Book Antiqua" w:cs="Helvetica"/>
          <w:i/>
          <w:iCs/>
          <w:lang w:val="en-US"/>
        </w:rPr>
        <w:t xml:space="preserve">denial </w:t>
      </w:r>
      <w:r w:rsidR="00E53758" w:rsidRPr="00176586">
        <w:rPr>
          <w:rFonts w:ascii="Book Antiqua" w:hAnsi="Book Antiqua" w:cs="Helvetica"/>
          <w:i/>
          <w:iCs/>
          <w:lang w:val="en-US"/>
        </w:rPr>
        <w:t>of autonomy</w:t>
      </w:r>
      <w:r w:rsidR="00E53758">
        <w:rPr>
          <w:rFonts w:ascii="Book Antiqua" w:hAnsi="Book Antiqua" w:cs="Helvetica"/>
          <w:lang w:val="en-US"/>
        </w:rPr>
        <w:t>;</w:t>
      </w:r>
      <w:r w:rsidR="00E53758" w:rsidRPr="00176586">
        <w:rPr>
          <w:rFonts w:ascii="Book Antiqua" w:hAnsi="Book Antiqua" w:cs="Helvetica"/>
          <w:i/>
          <w:iCs/>
          <w:lang w:val="en-US"/>
        </w:rPr>
        <w:t xml:space="preserve"> inertness</w:t>
      </w:r>
      <w:r w:rsidR="00E53758">
        <w:rPr>
          <w:rFonts w:ascii="Book Antiqua" w:hAnsi="Book Antiqua" w:cs="Helvetica"/>
          <w:lang w:val="en-US"/>
        </w:rPr>
        <w:t xml:space="preserve">; </w:t>
      </w:r>
      <w:r w:rsidR="00E53758" w:rsidRPr="00176586">
        <w:rPr>
          <w:rFonts w:ascii="Book Antiqua" w:hAnsi="Book Antiqua" w:cs="Helvetica"/>
          <w:i/>
          <w:iCs/>
          <w:lang w:val="en-US"/>
        </w:rPr>
        <w:t>fungibility</w:t>
      </w:r>
      <w:r w:rsidR="00E53758" w:rsidRPr="00176586">
        <w:rPr>
          <w:rFonts w:ascii="Book Antiqua" w:hAnsi="Book Antiqua" w:cs="Helvetica"/>
          <w:lang w:val="en-US"/>
        </w:rPr>
        <w:t xml:space="preserve">; </w:t>
      </w:r>
      <w:r w:rsidR="00E53758">
        <w:rPr>
          <w:rFonts w:ascii="Book Antiqua" w:hAnsi="Book Antiqua" w:cs="Helvetica"/>
          <w:iCs/>
          <w:lang w:val="en-US"/>
        </w:rPr>
        <w:t xml:space="preserve">and </w:t>
      </w:r>
      <w:r w:rsidR="00E53758" w:rsidRPr="00176586">
        <w:rPr>
          <w:rFonts w:ascii="Book Antiqua" w:hAnsi="Book Antiqua" w:cs="Helvetica"/>
          <w:i/>
          <w:iCs/>
          <w:lang w:val="en-US"/>
        </w:rPr>
        <w:t>denial of subjectivity</w:t>
      </w:r>
      <w:r w:rsidR="00E53758">
        <w:rPr>
          <w:rFonts w:ascii="Book Antiqua" w:hAnsi="Book Antiqua" w:cs="Helvetica"/>
          <w:lang w:val="en-US"/>
        </w:rPr>
        <w:t xml:space="preserve"> in a more complex ‘double-edged’ way.  </w:t>
      </w:r>
      <w:r>
        <w:rPr>
          <w:rFonts w:ascii="Book Antiqua" w:hAnsi="Book Antiqua" w:cs="Helvetica"/>
          <w:lang w:val="en-US"/>
        </w:rPr>
        <w:t xml:space="preserve">It thus involves treating the mother as an object. Nussbaum and Green have argued that not </w:t>
      </w:r>
      <w:r w:rsidR="00363745">
        <w:rPr>
          <w:rFonts w:ascii="Book Antiqua" w:hAnsi="Book Antiqua" w:cs="Helvetica"/>
          <w:lang w:val="en-US"/>
        </w:rPr>
        <w:t xml:space="preserve">all </w:t>
      </w:r>
      <w:r>
        <w:rPr>
          <w:rFonts w:ascii="Book Antiqua" w:hAnsi="Book Antiqua" w:cs="Helvetica"/>
          <w:lang w:val="en-US"/>
        </w:rPr>
        <w:t xml:space="preserve">ways of treating a person as an object are objectionable.   The object-appropriate treatment involved in the </w:t>
      </w:r>
      <w:r>
        <w:rPr>
          <w:rFonts w:ascii="Book Antiqua" w:hAnsi="Book Antiqua" w:cs="Helvetica"/>
          <w:lang w:val="en-US"/>
        </w:rPr>
        <w:lastRenderedPageBreak/>
        <w:t xml:space="preserve">Model of Motherhood is </w:t>
      </w:r>
      <w:r>
        <w:rPr>
          <w:rFonts w:ascii="Book Antiqua" w:hAnsi="Book Antiqua" w:cs="Helvetica"/>
        </w:rPr>
        <w:t>(a) coercive, presented as the only way in which to be a good mother; (b) extreme, requiring the total subsumption of the mother’s needs and (c) long term.  It thus involves treating a person as an object to an extent that is incompatible with appropriate treatment of a person.   W</w:t>
      </w:r>
      <w:r w:rsidR="00E53758">
        <w:rPr>
          <w:rFonts w:ascii="Book Antiqua" w:hAnsi="Book Antiqua" w:cs="Helvetica"/>
          <w:lang w:val="en-US"/>
        </w:rPr>
        <w:t xml:space="preserve">e should recognize it as a case of </w:t>
      </w:r>
      <w:r>
        <w:rPr>
          <w:rFonts w:ascii="Book Antiqua" w:hAnsi="Book Antiqua" w:cs="Helvetica"/>
          <w:lang w:val="en-US"/>
        </w:rPr>
        <w:t xml:space="preserve">objectionable </w:t>
      </w:r>
      <w:r w:rsidR="00E53758">
        <w:rPr>
          <w:rFonts w:ascii="Book Antiqua" w:hAnsi="Book Antiqua" w:cs="Helvetica"/>
          <w:lang w:val="en-US"/>
        </w:rPr>
        <w:t>objectification.</w:t>
      </w:r>
      <w:r>
        <w:rPr>
          <w:rFonts w:ascii="Book Antiqua" w:hAnsi="Book Antiqua" w:cs="Helvetica"/>
          <w:lang w:val="en-US"/>
        </w:rPr>
        <w:t xml:space="preserve"> </w:t>
      </w:r>
    </w:p>
    <w:p w14:paraId="29EB6407" w14:textId="09D46BA9" w:rsidR="00C47058" w:rsidRDefault="00C47058" w:rsidP="00154AC5">
      <w:pPr>
        <w:spacing w:line="360" w:lineRule="auto"/>
        <w:jc w:val="both"/>
        <w:rPr>
          <w:rFonts w:ascii="Book Antiqua" w:hAnsi="Book Antiqua" w:cs="Helvetica"/>
          <w:lang w:val="en-US"/>
        </w:rPr>
      </w:pPr>
      <w:r>
        <w:rPr>
          <w:rFonts w:ascii="Book Antiqua" w:hAnsi="Book Antiqua" w:cs="Helvetica"/>
          <w:lang w:val="en-US"/>
        </w:rPr>
        <w:tab/>
        <w:t>Recognizing the Model of Motherhood as objectionable objectification helps us to more clearly articulate worries about our understanding of motherhood.  It links concerns over our treatment of mothers to a long-established conversation regarding sexual objectification.  But considering objectification and motherhood can also shed light on our understanding of objectification</w:t>
      </w:r>
      <w:r w:rsidR="00C555C6">
        <w:rPr>
          <w:rFonts w:ascii="Book Antiqua" w:hAnsi="Book Antiqua" w:cs="Helvetica"/>
          <w:lang w:val="en-US"/>
        </w:rPr>
        <w:t xml:space="preserve">.  </w:t>
      </w:r>
      <w:r w:rsidR="00F127A2">
        <w:rPr>
          <w:rFonts w:ascii="Book Antiqua" w:hAnsi="Book Antiqua" w:cs="Helvetica"/>
          <w:lang w:val="en-US"/>
        </w:rPr>
        <w:t xml:space="preserve">Like the examples of Lawrentian </w:t>
      </w:r>
      <w:r w:rsidR="004F6923">
        <w:rPr>
          <w:rFonts w:ascii="Book Antiqua" w:hAnsi="Book Antiqua" w:cs="Helvetica"/>
          <w:lang w:val="en-US"/>
        </w:rPr>
        <w:t xml:space="preserve">sexual </w:t>
      </w:r>
      <w:r w:rsidR="00F127A2">
        <w:rPr>
          <w:rFonts w:ascii="Book Antiqua" w:hAnsi="Book Antiqua" w:cs="Helvetica"/>
          <w:lang w:val="en-US"/>
        </w:rPr>
        <w:t>objectification discussed by Nussbaum, motherhood may seem to be wonderful precisely because of some of the features that seem to make it count as objectifying.  I suggest that we should only count object-appropriate treatment as objectification if it involves treating a person as an object in a way (or to an extent) incompatible with the appropriate treatment of a person.</w:t>
      </w:r>
      <w:r w:rsidR="001C1F21">
        <w:rPr>
          <w:rFonts w:ascii="Book Antiqua" w:hAnsi="Book Antiqua" w:cs="Helvetica"/>
          <w:lang w:val="en-US"/>
        </w:rPr>
        <w:t xml:space="preserve">  Consideration of motherhood, like considerati</w:t>
      </w:r>
      <w:r w:rsidR="00363745">
        <w:rPr>
          <w:rFonts w:ascii="Book Antiqua" w:hAnsi="Book Antiqua" w:cs="Helvetica"/>
          <w:lang w:val="en-US"/>
        </w:rPr>
        <w:t xml:space="preserve">on of </w:t>
      </w:r>
      <w:r w:rsidR="004F6923">
        <w:rPr>
          <w:rFonts w:ascii="Book Antiqua" w:hAnsi="Book Antiqua" w:cs="Helvetica"/>
          <w:lang w:val="en-US"/>
        </w:rPr>
        <w:t xml:space="preserve">Lawrentian objectification, shows that in some cases treating someone as an object can be not only compatible with treating them as a person, but a deeply important aspect of human flourishing.  Such examples show that we may need to revise the way we conceive of persons. </w:t>
      </w:r>
    </w:p>
    <w:p w14:paraId="4A6D80A6" w14:textId="78CABD52" w:rsidR="002B4D1D" w:rsidRDefault="002B4D1D" w:rsidP="00154AC5">
      <w:pPr>
        <w:spacing w:line="360" w:lineRule="auto"/>
        <w:jc w:val="both"/>
        <w:rPr>
          <w:rFonts w:ascii="Book Antiqua" w:hAnsi="Book Antiqua" w:cs="Helvetica"/>
          <w:lang w:val="en-US"/>
        </w:rPr>
      </w:pPr>
      <w:r>
        <w:rPr>
          <w:rFonts w:ascii="Book Antiqua" w:hAnsi="Book Antiqua" w:cs="Helvetica"/>
          <w:lang w:val="en-US"/>
        </w:rPr>
        <w:tab/>
        <w:t>Although I have focused on the Nussbaum/ Langton account of objectification, the discussion also has implications for other accounts such as the classic Dworkin-MacKinnon account, Bordo and Bartky’s aesthetic object accounts and Sally Haslanger’s epi</w:t>
      </w:r>
      <w:r w:rsidR="00843FD8">
        <w:rPr>
          <w:rFonts w:ascii="Book Antiqua" w:hAnsi="Book Antiqua" w:cs="Helvetica"/>
          <w:lang w:val="en-US"/>
        </w:rPr>
        <w:t xml:space="preserve">stemic account, and </w:t>
      </w:r>
      <w:r>
        <w:rPr>
          <w:rFonts w:ascii="Book Antiqua" w:hAnsi="Book Antiqua" w:cs="Helvetica"/>
          <w:lang w:val="en-US"/>
        </w:rPr>
        <w:t xml:space="preserve">Nancy Bauer’s </w:t>
      </w:r>
      <w:r w:rsidR="00843FD8">
        <w:rPr>
          <w:rFonts w:ascii="Book Antiqua" w:hAnsi="Book Antiqua" w:cs="Helvetica"/>
          <w:lang w:val="en-US"/>
        </w:rPr>
        <w:t xml:space="preserve">‘anti-analysis’ approach.   </w:t>
      </w:r>
    </w:p>
    <w:p w14:paraId="15F36840" w14:textId="06D3B28F" w:rsidR="00E77378" w:rsidRPr="00DA5609" w:rsidRDefault="00DA5609" w:rsidP="00154AC5">
      <w:pPr>
        <w:spacing w:line="360" w:lineRule="auto"/>
        <w:jc w:val="both"/>
        <w:rPr>
          <w:rFonts w:ascii="Book Antiqua" w:hAnsi="Book Antiqua" w:cs="Helvetica"/>
          <w:color w:val="FF0000"/>
          <w:lang w:val="en-US"/>
        </w:rPr>
      </w:pPr>
      <w:r>
        <w:rPr>
          <w:rFonts w:ascii="Book Antiqua" w:hAnsi="Book Antiqua" w:cs="Helvetica"/>
          <w:lang w:val="en-US"/>
        </w:rPr>
        <w:tab/>
      </w:r>
      <w:r w:rsidR="00E53758" w:rsidRPr="00DA5609">
        <w:rPr>
          <w:rFonts w:ascii="Book Antiqua" w:hAnsi="Book Antiqua" w:cs="Helvetica"/>
          <w:color w:val="FF0000"/>
          <w:lang w:val="en-US"/>
        </w:rPr>
        <w:t xml:space="preserve"> </w:t>
      </w:r>
    </w:p>
    <w:p w14:paraId="51462E60" w14:textId="3A7ECE97" w:rsidR="00D853E6" w:rsidRPr="00D853E6" w:rsidRDefault="007C1FB9" w:rsidP="00154AC5">
      <w:pPr>
        <w:spacing w:line="360" w:lineRule="auto"/>
        <w:jc w:val="both"/>
        <w:rPr>
          <w:rFonts w:ascii="Book Antiqua" w:hAnsi="Book Antiqua" w:cs="Helvetica"/>
          <w:color w:val="FF0000"/>
          <w:lang w:val="en-US"/>
        </w:rPr>
      </w:pPr>
      <w:r>
        <w:rPr>
          <w:rFonts w:ascii="Book Antiqua" w:hAnsi="Book Antiqua" w:cs="Helvetica"/>
        </w:rPr>
        <w:tab/>
      </w:r>
    </w:p>
    <w:p w14:paraId="5BF5919A" w14:textId="4B4CE9AE" w:rsidR="00E84577" w:rsidRPr="0059403D" w:rsidRDefault="009F5A63" w:rsidP="00154AC5">
      <w:pPr>
        <w:spacing w:line="360" w:lineRule="auto"/>
        <w:jc w:val="both"/>
        <w:rPr>
          <w:rFonts w:ascii="Book Antiqua" w:hAnsi="Book Antiqua" w:cs="Helvetica"/>
          <w:color w:val="FF0000"/>
          <w:lang w:val="en-US"/>
        </w:rPr>
      </w:pPr>
      <w:r w:rsidRPr="00D853E6">
        <w:rPr>
          <w:rFonts w:ascii="Book Antiqua" w:hAnsi="Book Antiqua" w:cs="Helvetica"/>
          <w:color w:val="FF0000"/>
          <w:lang w:val="en-US"/>
        </w:rPr>
        <w:t xml:space="preserve"> </w:t>
      </w:r>
    </w:p>
    <w:sectPr w:rsidR="00E84577" w:rsidRPr="0059403D" w:rsidSect="00F0484F">
      <w:footerReference w:type="even" r:id="rId9"/>
      <w:footerReference w:type="default" r:id="rId10"/>
      <w:pgSz w:w="11900" w:h="16840"/>
      <w:pgMar w:top="1440" w:right="2261"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F97B2" w14:textId="77777777" w:rsidR="007E2B23" w:rsidRDefault="007E2B23" w:rsidP="00E05E1B">
      <w:r>
        <w:separator/>
      </w:r>
    </w:p>
  </w:endnote>
  <w:endnote w:type="continuationSeparator" w:id="0">
    <w:p w14:paraId="5309BA8E" w14:textId="77777777" w:rsidR="007E2B23" w:rsidRDefault="007E2B23" w:rsidP="00E0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4A7B6" w14:textId="77777777" w:rsidR="007E2B23" w:rsidRDefault="007E2B23" w:rsidP="00CD5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6FD00" w14:textId="77777777" w:rsidR="007E2B23" w:rsidRDefault="007E2B23" w:rsidP="00CD58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9865" w14:textId="77777777" w:rsidR="007E2B23" w:rsidRDefault="007E2B23" w:rsidP="00CD58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606E">
      <w:rPr>
        <w:rStyle w:val="PageNumber"/>
        <w:noProof/>
      </w:rPr>
      <w:t>31</w:t>
    </w:r>
    <w:r>
      <w:rPr>
        <w:rStyle w:val="PageNumber"/>
      </w:rPr>
      <w:fldChar w:fldCharType="end"/>
    </w:r>
  </w:p>
  <w:p w14:paraId="04818644" w14:textId="77777777" w:rsidR="007E2B23" w:rsidRDefault="007E2B23" w:rsidP="00CD58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4AA41" w14:textId="77777777" w:rsidR="007E2B23" w:rsidRDefault="007E2B23" w:rsidP="00E05E1B">
      <w:r>
        <w:separator/>
      </w:r>
    </w:p>
  </w:footnote>
  <w:footnote w:type="continuationSeparator" w:id="0">
    <w:p w14:paraId="0066E205" w14:textId="77777777" w:rsidR="007E2B23" w:rsidRDefault="007E2B23" w:rsidP="00E05E1B">
      <w:r>
        <w:continuationSeparator/>
      </w:r>
    </w:p>
  </w:footnote>
  <w:footnote w:id="1">
    <w:p w14:paraId="6092F100" w14:textId="4118E5B8"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This paper was presented at Edinburgh Women in Philosophy Spring Workshop 2016 and at the “Better Understanding the Metaphysics of Pregnancy” June 2016 Work in Progress Session at the University of Southampton.  I would like to thank audiences at both events for extremely helpful comments and suggestions, and in particular my EWIP commentator, Anna de Bruyckere, and Elselijn Kingma who gave extensive comments and advice.</w:t>
      </w:r>
    </w:p>
  </w:footnote>
  <w:footnote w:id="2">
    <w:p w14:paraId="638D0DC7" w14:textId="5BB24A29" w:rsidR="007E2B23" w:rsidRPr="00270143" w:rsidRDefault="007E2B23" w:rsidP="0026144C">
      <w:pPr>
        <w:pStyle w:val="FootnoteText"/>
        <w:rPr>
          <w:sz w:val="20"/>
          <w:szCs w:val="20"/>
          <w:lang w:val="en-US"/>
        </w:rPr>
      </w:pPr>
      <w:r w:rsidRPr="00270143">
        <w:rPr>
          <w:rStyle w:val="FootnoteReference"/>
          <w:sz w:val="20"/>
          <w:szCs w:val="20"/>
        </w:rPr>
        <w:footnoteRef/>
      </w:r>
      <w:r w:rsidRPr="00270143">
        <w:rPr>
          <w:sz w:val="20"/>
          <w:szCs w:val="20"/>
        </w:rPr>
        <w:t xml:space="preserve"> #hardestjobintheworld Mothers Day advert by American Greetings.  Available online at  </w:t>
      </w:r>
      <w:hyperlink r:id="rId1" w:history="1">
        <w:r w:rsidRPr="00270143">
          <w:rPr>
            <w:rStyle w:val="Hyperlink"/>
            <w:sz w:val="20"/>
            <w:szCs w:val="20"/>
          </w:rPr>
          <w:t>https://www.youtube.com/watch?v=MWcJZ210AaM</w:t>
        </w:r>
      </w:hyperlink>
      <w:r w:rsidRPr="00270143">
        <w:rPr>
          <w:sz w:val="20"/>
          <w:szCs w:val="20"/>
        </w:rPr>
        <w:t xml:space="preserve"> (accessed 5</w:t>
      </w:r>
      <w:r w:rsidRPr="00270143">
        <w:rPr>
          <w:sz w:val="20"/>
          <w:szCs w:val="20"/>
          <w:vertAlign w:val="superscript"/>
        </w:rPr>
        <w:t>th</w:t>
      </w:r>
      <w:r w:rsidRPr="00270143">
        <w:rPr>
          <w:sz w:val="20"/>
          <w:szCs w:val="20"/>
        </w:rPr>
        <w:t xml:space="preserve"> April 2016).</w:t>
      </w:r>
    </w:p>
  </w:footnote>
  <w:footnote w:id="3">
    <w:p w14:paraId="42EB11F8" w14:textId="78EA5A9A" w:rsidR="007E2B23" w:rsidRPr="00270143" w:rsidRDefault="007E2B23" w:rsidP="00DC360B">
      <w:pPr>
        <w:pStyle w:val="FootnoteText"/>
        <w:rPr>
          <w:sz w:val="20"/>
          <w:szCs w:val="20"/>
          <w:lang w:val="en-US"/>
        </w:rPr>
      </w:pPr>
      <w:r w:rsidRPr="00270143">
        <w:rPr>
          <w:rStyle w:val="FootnoteReference"/>
          <w:sz w:val="20"/>
          <w:szCs w:val="20"/>
        </w:rPr>
        <w:footnoteRef/>
      </w:r>
      <w:r w:rsidRPr="00270143">
        <w:rPr>
          <w:rFonts w:ascii="Times" w:hAnsi="Times"/>
          <w:sz w:val="20"/>
          <w:szCs w:val="20"/>
        </w:rPr>
        <w:t xml:space="preserve">Amy Mullin, </w:t>
      </w:r>
      <w:r w:rsidRPr="00270143">
        <w:rPr>
          <w:rFonts w:ascii="Times" w:hAnsi="Times"/>
          <w:i/>
          <w:sz w:val="20"/>
          <w:szCs w:val="20"/>
        </w:rPr>
        <w:t>Reconceiving Pregnancy and Childcare: Ethics, Experience, and Reproductive Labour</w:t>
      </w:r>
      <w:r w:rsidRPr="00270143">
        <w:rPr>
          <w:rFonts w:ascii="Times" w:hAnsi="Times"/>
          <w:sz w:val="20"/>
          <w:szCs w:val="20"/>
        </w:rPr>
        <w:t xml:space="preserve"> (Cambridge University Press, New York, 2005)</w:t>
      </w:r>
      <w:r w:rsidRPr="00270143">
        <w:rPr>
          <w:sz w:val="20"/>
          <w:szCs w:val="20"/>
          <w:lang w:val="en-US"/>
        </w:rPr>
        <w:t>, p. 33</w:t>
      </w:r>
    </w:p>
  </w:footnote>
  <w:footnote w:id="4">
    <w:p w14:paraId="021B9139" w14:textId="6B1CB397"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Of course, a significant number of mothers are single parents with little or no outside support.  However, first, even for such mothers the picture painted by American Greetings is unrealistic: the period of no time to sleep and no breaks should not last 365 days let alone 365 days a year for many years as implied by the advert.  It is only in cases where a child has significant special needs that this is a realistic picture of parenting.   Second, the assumption that such a situation is normal or natural is damaging.  Our response to a woman in such a situation should not be ‘Her kids better send her a card!’  Our response should be: we need to set up better structures of support so people do not go through this.  </w:t>
      </w:r>
    </w:p>
  </w:footnote>
  <w:footnote w:id="5">
    <w:p w14:paraId="663FDD18" w14:textId="221ACF1D" w:rsidR="007E2B23" w:rsidRPr="00270143" w:rsidRDefault="007E2B23" w:rsidP="0043512C">
      <w:pPr>
        <w:pStyle w:val="FootnoteText"/>
        <w:rPr>
          <w:sz w:val="20"/>
          <w:szCs w:val="20"/>
          <w:lang w:val="en-US"/>
        </w:rPr>
      </w:pPr>
      <w:r w:rsidRPr="00270143">
        <w:rPr>
          <w:rStyle w:val="FootnoteReference"/>
          <w:sz w:val="20"/>
          <w:szCs w:val="20"/>
        </w:rPr>
        <w:footnoteRef/>
      </w:r>
      <w:r w:rsidRPr="00270143">
        <w:rPr>
          <w:rFonts w:ascii="Times" w:hAnsi="Times"/>
          <w:sz w:val="20"/>
          <w:szCs w:val="20"/>
        </w:rPr>
        <w:t xml:space="preserve">Mullin, </w:t>
      </w:r>
      <w:r w:rsidRPr="00270143">
        <w:rPr>
          <w:rFonts w:ascii="Times" w:hAnsi="Times"/>
          <w:i/>
          <w:sz w:val="20"/>
          <w:szCs w:val="20"/>
        </w:rPr>
        <w:t>Reconceiving Pregnancy and Childcare</w:t>
      </w:r>
      <w:r w:rsidRPr="00270143">
        <w:rPr>
          <w:rFonts w:ascii="Times" w:hAnsi="Times"/>
          <w:sz w:val="20"/>
          <w:szCs w:val="20"/>
        </w:rPr>
        <w:t>.</w:t>
      </w:r>
    </w:p>
  </w:footnote>
  <w:footnote w:id="6">
    <w:p w14:paraId="6DF3A3FB" w14:textId="1E47374C" w:rsidR="007E2B23" w:rsidRPr="00270143" w:rsidRDefault="007E2B23">
      <w:pPr>
        <w:pStyle w:val="FootnoteText"/>
        <w:rPr>
          <w:sz w:val="20"/>
          <w:szCs w:val="20"/>
          <w:lang w:val="en-US"/>
        </w:rPr>
      </w:pPr>
      <w:r w:rsidRPr="00270143">
        <w:rPr>
          <w:rStyle w:val="FootnoteReference"/>
          <w:sz w:val="20"/>
          <w:szCs w:val="20"/>
        </w:rPr>
        <w:footnoteRef/>
      </w:r>
      <w:r w:rsidRPr="00270143">
        <w:rPr>
          <w:rFonts w:ascii="Times" w:hAnsi="Times"/>
          <w:sz w:val="20"/>
          <w:szCs w:val="20"/>
        </w:rPr>
        <w:t>Rebecca Kukla</w:t>
      </w:r>
      <w:r w:rsidRPr="00270143">
        <w:rPr>
          <w:rFonts w:ascii="Times" w:hAnsi="Times"/>
          <w:i/>
          <w:sz w:val="20"/>
          <w:szCs w:val="20"/>
        </w:rPr>
        <w:t xml:space="preserve"> Mass Hysteria:  Medicine, Culture, and Mothers’ Bodies</w:t>
      </w:r>
      <w:r w:rsidRPr="00270143">
        <w:rPr>
          <w:rFonts w:ascii="Times" w:hAnsi="Times"/>
          <w:sz w:val="20"/>
          <w:szCs w:val="20"/>
        </w:rPr>
        <w:t>. (</w:t>
      </w:r>
      <w:r w:rsidRPr="00270143">
        <w:rPr>
          <w:sz w:val="20"/>
          <w:szCs w:val="20"/>
        </w:rPr>
        <w:t>Rowman and Littlefield, Lanham, Maryland, 2005).</w:t>
      </w:r>
    </w:p>
  </w:footnote>
  <w:footnote w:id="7">
    <w:p w14:paraId="52D0129F" w14:textId="2D2115FC" w:rsidR="007E2B23" w:rsidRPr="00270143" w:rsidRDefault="007E2B23" w:rsidP="005C0449">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rFonts w:ascii="Times" w:hAnsi="Times"/>
          <w:sz w:val="20"/>
          <w:szCs w:val="20"/>
        </w:rPr>
        <w:t xml:space="preserve">Mullin, </w:t>
      </w:r>
      <w:r w:rsidRPr="00270143">
        <w:rPr>
          <w:rFonts w:ascii="Times" w:hAnsi="Times"/>
          <w:i/>
          <w:sz w:val="20"/>
          <w:szCs w:val="20"/>
        </w:rPr>
        <w:t>Reconceiving Pregnancy and Childcare</w:t>
      </w:r>
      <w:r w:rsidRPr="00270143">
        <w:rPr>
          <w:rFonts w:ascii="Times" w:hAnsi="Times"/>
          <w:sz w:val="20"/>
          <w:szCs w:val="20"/>
        </w:rPr>
        <w:t>, p. 7.</w:t>
      </w:r>
    </w:p>
  </w:footnote>
  <w:footnote w:id="8">
    <w:p w14:paraId="3B11CFF0" w14:textId="77777777" w:rsidR="007E2B23" w:rsidRPr="00270143" w:rsidRDefault="007E2B23" w:rsidP="0043512C">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For overviews of the use of the term ‘ideology’, see Eagleton, Terry (1991) </w:t>
      </w:r>
      <w:r w:rsidRPr="00270143">
        <w:rPr>
          <w:i/>
          <w:iCs/>
          <w:sz w:val="20"/>
          <w:szCs w:val="20"/>
          <w:lang w:val="en-US"/>
        </w:rPr>
        <w:t>Ideology. An introduction</w:t>
      </w:r>
      <w:r w:rsidRPr="00270143">
        <w:rPr>
          <w:sz w:val="20"/>
          <w:szCs w:val="20"/>
          <w:lang w:val="en-US"/>
        </w:rPr>
        <w:t xml:space="preserve">, Verso, </w:t>
      </w:r>
      <w:hyperlink r:id="rId2" w:history="1">
        <w:r w:rsidRPr="00270143">
          <w:rPr>
            <w:rStyle w:val="Hyperlink"/>
            <w:sz w:val="20"/>
            <w:szCs w:val="20"/>
            <w:lang w:val="en-US"/>
          </w:rPr>
          <w:t>ISBN 0-86091-319-8</w:t>
        </w:r>
      </w:hyperlink>
      <w:r w:rsidRPr="00270143">
        <w:rPr>
          <w:sz w:val="20"/>
          <w:szCs w:val="20"/>
          <w:lang w:val="en-US"/>
        </w:rPr>
        <w:t xml:space="preserve">; Minar, David M. (1961) "Ideology and Political Behavior", </w:t>
      </w:r>
      <w:r w:rsidRPr="00270143">
        <w:rPr>
          <w:i/>
          <w:iCs/>
          <w:sz w:val="20"/>
          <w:szCs w:val="20"/>
          <w:lang w:val="en-US"/>
        </w:rPr>
        <w:t>Midwest Journal of Political Science</w:t>
      </w:r>
      <w:r w:rsidRPr="00270143">
        <w:rPr>
          <w:sz w:val="20"/>
          <w:szCs w:val="20"/>
          <w:lang w:val="en-US"/>
        </w:rPr>
        <w:t xml:space="preserve">. Midwest Political Science Association;  http://www.semioticon.com/seo/I/ideology.html# </w:t>
      </w:r>
    </w:p>
  </w:footnote>
  <w:footnote w:id="9">
    <w:p w14:paraId="54394C20" w14:textId="63D72CCC" w:rsidR="007E2B23" w:rsidRPr="00270143" w:rsidRDefault="007E2B23" w:rsidP="00235399">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I am unsure whether Mullin intends to use the word ideology in the Marxist sense as “false consciousness which is functionally explained by reference to its tendency to promote the interests of one social group over enough” or indeed as a form of patriarchal ideology  “false consciousness, the occurrence and nature of which we take to be explicable in terms of a tendency to further the interests of a dominant sex (men) over a subordinate one (women)” (Finalyson </w:t>
      </w:r>
      <w:r w:rsidRPr="00270143">
        <w:rPr>
          <w:i/>
          <w:sz w:val="20"/>
          <w:szCs w:val="20"/>
          <w:lang w:val="en-US"/>
        </w:rPr>
        <w:t xml:space="preserve">An Introduction to Feminism </w:t>
      </w:r>
      <w:r w:rsidRPr="00270143">
        <w:rPr>
          <w:sz w:val="20"/>
          <w:szCs w:val="20"/>
          <w:lang w:val="en-US"/>
        </w:rPr>
        <w:t xml:space="preserve">(Cambridge University Press, Cambridge, 2016), p. 18).  She clearly sees the ideology of motherhood as damaging for women.  It may superficially seem that children are the beneficiaries of the ideology of motherhood.  However, children and fathers as well as mothers suffer from this picture.  The beneficiary, if there is one, seems to me to be the patriarchal system rather than any individuals.  </w:t>
      </w:r>
    </w:p>
  </w:footnote>
  <w:footnote w:id="10">
    <w:p w14:paraId="2B760BDA" w14:textId="628EF95A"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rFonts w:ascii="Times" w:hAnsi="Times"/>
          <w:sz w:val="20"/>
          <w:szCs w:val="20"/>
        </w:rPr>
        <w:t>Kukla,</w:t>
      </w:r>
      <w:r w:rsidRPr="00270143">
        <w:rPr>
          <w:rFonts w:ascii="Times" w:hAnsi="Times"/>
          <w:i/>
          <w:sz w:val="20"/>
          <w:szCs w:val="20"/>
        </w:rPr>
        <w:t xml:space="preserve"> Mass Hysteria</w:t>
      </w:r>
      <w:r w:rsidRPr="00270143">
        <w:rPr>
          <w:sz w:val="20"/>
          <w:szCs w:val="20"/>
          <w:lang w:val="en-US"/>
        </w:rPr>
        <w:t>, p. 81</w:t>
      </w:r>
    </w:p>
  </w:footnote>
  <w:footnote w:id="11">
    <w:p w14:paraId="45390EF1" w14:textId="2200D308"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rFonts w:ascii="Times" w:hAnsi="Times"/>
          <w:sz w:val="20"/>
          <w:szCs w:val="20"/>
        </w:rPr>
        <w:t>Kukla,</w:t>
      </w:r>
      <w:r w:rsidRPr="00270143">
        <w:rPr>
          <w:rFonts w:ascii="Times" w:hAnsi="Times"/>
          <w:i/>
          <w:sz w:val="20"/>
          <w:szCs w:val="20"/>
        </w:rPr>
        <w:t xml:space="preserve"> Mass Hysteria</w:t>
      </w:r>
      <w:r w:rsidRPr="00270143">
        <w:rPr>
          <w:sz w:val="20"/>
          <w:szCs w:val="20"/>
          <w:lang w:val="en-US"/>
        </w:rPr>
        <w:t xml:space="preserve"> p. 67</w:t>
      </w:r>
    </w:p>
  </w:footnote>
  <w:footnote w:id="12">
    <w:p w14:paraId="22B57CF7" w14:textId="14AC8B83"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rFonts w:ascii="Times" w:hAnsi="Times"/>
          <w:sz w:val="20"/>
          <w:szCs w:val="20"/>
        </w:rPr>
        <w:t>Kukla,</w:t>
      </w:r>
      <w:r w:rsidRPr="00270143">
        <w:rPr>
          <w:rFonts w:ascii="Times" w:hAnsi="Times"/>
          <w:i/>
          <w:sz w:val="20"/>
          <w:szCs w:val="20"/>
        </w:rPr>
        <w:t xml:space="preserve"> Mass Hysteria</w:t>
      </w:r>
      <w:r w:rsidRPr="00270143">
        <w:rPr>
          <w:sz w:val="20"/>
          <w:szCs w:val="20"/>
          <w:lang w:val="en-US"/>
        </w:rPr>
        <w:t>, p. 81.</w:t>
      </w:r>
    </w:p>
  </w:footnote>
  <w:footnote w:id="13">
    <w:p w14:paraId="0F253C70" w14:textId="3A70DD8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rFonts w:ascii="Times" w:hAnsi="Times"/>
          <w:sz w:val="20"/>
          <w:szCs w:val="20"/>
        </w:rPr>
        <w:t>Kukla,</w:t>
      </w:r>
      <w:r w:rsidRPr="00270143">
        <w:rPr>
          <w:rFonts w:ascii="Times" w:hAnsi="Times"/>
          <w:i/>
          <w:sz w:val="20"/>
          <w:szCs w:val="20"/>
        </w:rPr>
        <w:t xml:space="preserve"> Mass Hysteria</w:t>
      </w:r>
      <w:r w:rsidRPr="00270143">
        <w:rPr>
          <w:sz w:val="20"/>
          <w:szCs w:val="20"/>
          <w:lang w:val="en-US"/>
        </w:rPr>
        <w:t>, p. 83.</w:t>
      </w:r>
    </w:p>
  </w:footnote>
  <w:footnote w:id="14">
    <w:p w14:paraId="1B4F8411" w14:textId="13E7C04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La Leche League, International, </w:t>
      </w:r>
      <w:r w:rsidRPr="00270143">
        <w:rPr>
          <w:i/>
          <w:sz w:val="20"/>
          <w:szCs w:val="20"/>
        </w:rPr>
        <w:t>The Womanly Art of Breastfeeding</w:t>
      </w:r>
      <w:r w:rsidRPr="00270143">
        <w:rPr>
          <w:sz w:val="20"/>
          <w:szCs w:val="20"/>
        </w:rPr>
        <w:t xml:space="preserve">, Sixth Revised Edition, (New York, Plume Books, 1997) p. 86, cited </w:t>
      </w:r>
      <w:r w:rsidRPr="00270143">
        <w:rPr>
          <w:rFonts w:ascii="Times" w:hAnsi="Times"/>
          <w:sz w:val="20"/>
          <w:szCs w:val="20"/>
        </w:rPr>
        <w:t>Kukla</w:t>
      </w:r>
      <w:r w:rsidRPr="00270143">
        <w:rPr>
          <w:rFonts w:ascii="Times" w:hAnsi="Times"/>
          <w:i/>
          <w:sz w:val="20"/>
          <w:szCs w:val="20"/>
        </w:rPr>
        <w:t xml:space="preserve"> Mass Hysteria, </w:t>
      </w:r>
      <w:r w:rsidRPr="00270143">
        <w:rPr>
          <w:rFonts w:ascii="Times" w:hAnsi="Times"/>
          <w:sz w:val="20"/>
          <w:szCs w:val="20"/>
        </w:rPr>
        <w:t>p. 176.</w:t>
      </w:r>
    </w:p>
  </w:footnote>
  <w:footnote w:id="15">
    <w:p w14:paraId="51E66457" w14:textId="6A6FB2F4" w:rsidR="007E2B23" w:rsidRPr="00270143" w:rsidRDefault="007E2B23" w:rsidP="00943096">
      <w:pPr>
        <w:pStyle w:val="NormalWeb"/>
        <w:rPr>
          <w:rFonts w:ascii="Times" w:hAnsi="Times"/>
          <w:b/>
          <w:sz w:val="20"/>
          <w:szCs w:val="20"/>
        </w:rPr>
      </w:pPr>
      <w:r w:rsidRPr="00270143">
        <w:rPr>
          <w:rStyle w:val="FootnoteReference"/>
          <w:sz w:val="20"/>
          <w:szCs w:val="20"/>
        </w:rPr>
        <w:footnoteRef/>
      </w:r>
      <w:r w:rsidRPr="00270143">
        <w:rPr>
          <w:sz w:val="20"/>
          <w:szCs w:val="20"/>
        </w:rPr>
        <w:t xml:space="preserve"> </w:t>
      </w:r>
      <w:r w:rsidRPr="00270143">
        <w:rPr>
          <w:rFonts w:ascii="Times" w:hAnsi="Times"/>
          <w:sz w:val="20"/>
          <w:szCs w:val="20"/>
        </w:rPr>
        <w:t>Rebecca Kukla</w:t>
      </w:r>
      <w:r w:rsidRPr="00270143">
        <w:rPr>
          <w:rFonts w:ascii="Times" w:hAnsi="Times"/>
          <w:i/>
          <w:sz w:val="20"/>
          <w:szCs w:val="20"/>
        </w:rPr>
        <w:t xml:space="preserve"> Mass Hysteria</w:t>
      </w:r>
      <w:r w:rsidRPr="00270143">
        <w:rPr>
          <w:rFonts w:ascii="Times" w:hAnsi="Times"/>
          <w:sz w:val="20"/>
          <w:szCs w:val="20"/>
        </w:rPr>
        <w:t>, p. 175-6</w:t>
      </w:r>
    </w:p>
  </w:footnote>
  <w:footnote w:id="16">
    <w:p w14:paraId="0F17949D" w14:textId="7D336274"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La Leche League, International, </w:t>
      </w:r>
      <w:r w:rsidRPr="00270143">
        <w:rPr>
          <w:i/>
          <w:sz w:val="20"/>
          <w:szCs w:val="20"/>
        </w:rPr>
        <w:t>The Womanly Art of Breastfeeding</w:t>
      </w:r>
      <w:r w:rsidRPr="00270143">
        <w:rPr>
          <w:sz w:val="20"/>
          <w:szCs w:val="20"/>
        </w:rPr>
        <w:t xml:space="preserve">, Sixth Revised Edition, (New York, Plume Books, 1997) p. 79, cited </w:t>
      </w:r>
      <w:r w:rsidRPr="00270143">
        <w:rPr>
          <w:rFonts w:ascii="Times" w:hAnsi="Times"/>
          <w:sz w:val="20"/>
          <w:szCs w:val="20"/>
        </w:rPr>
        <w:t>Kukla</w:t>
      </w:r>
      <w:r w:rsidRPr="00270143">
        <w:rPr>
          <w:rFonts w:ascii="Times" w:hAnsi="Times"/>
          <w:i/>
          <w:sz w:val="20"/>
          <w:szCs w:val="20"/>
        </w:rPr>
        <w:t xml:space="preserve"> Mass Hysteria, </w:t>
      </w:r>
      <w:r w:rsidRPr="00270143">
        <w:rPr>
          <w:rFonts w:ascii="Times" w:hAnsi="Times"/>
          <w:sz w:val="20"/>
          <w:szCs w:val="20"/>
        </w:rPr>
        <w:t>p. 176.</w:t>
      </w:r>
    </w:p>
  </w:footnote>
  <w:footnote w:id="17">
    <w:p w14:paraId="17886BCD" w14:textId="0FB7D440"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Kukla, </w:t>
      </w:r>
      <w:r w:rsidRPr="00270143">
        <w:rPr>
          <w:i/>
          <w:sz w:val="20"/>
          <w:szCs w:val="20"/>
          <w:lang w:val="en-US"/>
        </w:rPr>
        <w:t>Mass Hysteria</w:t>
      </w:r>
      <w:r w:rsidRPr="00270143">
        <w:rPr>
          <w:sz w:val="20"/>
          <w:szCs w:val="20"/>
          <w:lang w:val="en-US"/>
        </w:rPr>
        <w:t>, p. 176.</w:t>
      </w:r>
    </w:p>
  </w:footnote>
  <w:footnote w:id="18">
    <w:p w14:paraId="3ECC5E15" w14:textId="35DEF329" w:rsidR="007E2B23" w:rsidRPr="00270143" w:rsidRDefault="007E2B23">
      <w:pPr>
        <w:pStyle w:val="FootnoteText"/>
        <w:rPr>
          <w:b/>
          <w:sz w:val="20"/>
          <w:szCs w:val="20"/>
        </w:rPr>
      </w:pPr>
      <w:r w:rsidRPr="00270143">
        <w:rPr>
          <w:rStyle w:val="FootnoteReference"/>
          <w:sz w:val="20"/>
          <w:szCs w:val="20"/>
        </w:rPr>
        <w:footnoteRef/>
      </w:r>
      <w:r w:rsidRPr="00270143">
        <w:rPr>
          <w:sz w:val="20"/>
          <w:szCs w:val="20"/>
        </w:rPr>
        <w:t xml:space="preserve"> </w:t>
      </w:r>
      <w:r w:rsidRPr="00270143">
        <w:rPr>
          <w:sz w:val="20"/>
          <w:szCs w:val="20"/>
          <w:lang w:val="en-US"/>
        </w:rPr>
        <w:t>Kingma and Woollard, ‘</w:t>
      </w:r>
      <w:r w:rsidRPr="00270143">
        <w:rPr>
          <w:sz w:val="20"/>
          <w:szCs w:val="20"/>
        </w:rPr>
        <w:t>Can you harm your foetus? Pregnancy, physical indistinctness, and difficult deontological distinctions.</w:t>
      </w:r>
      <w:r w:rsidRPr="00270143">
        <w:rPr>
          <w:b/>
          <w:sz w:val="20"/>
          <w:szCs w:val="20"/>
        </w:rPr>
        <w:t xml:space="preserve">’ </w:t>
      </w:r>
      <w:r w:rsidRPr="00270143">
        <w:rPr>
          <w:sz w:val="20"/>
          <w:szCs w:val="20"/>
          <w:lang w:val="en-US"/>
        </w:rPr>
        <w:t>forthcoming.</w:t>
      </w:r>
    </w:p>
  </w:footnote>
  <w:footnote w:id="19">
    <w:p w14:paraId="1917E1D0" w14:textId="323A4449"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Does it make sense to speak of ‘</w:t>
      </w:r>
      <w:r w:rsidRPr="00270143">
        <w:rPr>
          <w:i/>
          <w:sz w:val="20"/>
          <w:szCs w:val="20"/>
          <w:lang w:val="en-US"/>
        </w:rPr>
        <w:t>the</w:t>
      </w:r>
      <w:r w:rsidRPr="00270143">
        <w:rPr>
          <w:sz w:val="20"/>
          <w:szCs w:val="20"/>
          <w:lang w:val="en-US"/>
        </w:rPr>
        <w:t xml:space="preserve"> Model of Motherhood’, assuming that this will cover all races and cultures?  I suggest that the ‘Model of Motherhood’ under discussion pictures ‘a mother’ as white, able-bodied, appropriately aged, middle-class, heterosexual, and thin.  Nonetheless, this picture is still understood as a universal norm.  Mothers who do not fit this picture are held to the standards of the Model of Motherhood even as it renders them invisible. In Kukla’s terms, those who deviate from the Fetish Mother are all too easily seen as Unruly Mothers, who present a danger to their children.  (See Kukla, </w:t>
      </w:r>
      <w:r w:rsidRPr="00270143">
        <w:rPr>
          <w:i/>
          <w:sz w:val="20"/>
          <w:szCs w:val="20"/>
          <w:lang w:val="en-US"/>
        </w:rPr>
        <w:t>Mass Hysteria,</w:t>
      </w:r>
      <w:r w:rsidRPr="00270143">
        <w:rPr>
          <w:sz w:val="20"/>
          <w:szCs w:val="20"/>
          <w:lang w:val="en-US"/>
        </w:rPr>
        <w:t xml:space="preserve"> p. 92-97 for discussion of the unruly mother and p. 201 for discussion of the way representations of breastfeeding present mothers as white, able-bodied and middle-class. See Carol Mason and Dorothy Roberts for discussion of the ways in which black mothers are more likely to be suspected of provided poor treatment or prosecuted for alcohol or substance use in pregnancy (Carol Mason, 2000 “Cracked Babies and the Partial Birth of a Nation: Millennialism and Fetal Citizenship.” </w:t>
      </w:r>
      <w:r w:rsidRPr="00270143">
        <w:rPr>
          <w:i/>
          <w:sz w:val="20"/>
          <w:szCs w:val="20"/>
          <w:lang w:val="en-US"/>
        </w:rPr>
        <w:t>Cultural Studies, 14, no. 1 35-60; Dorothy Roberts 1997, Killing the Black Body</w:t>
      </w:r>
      <w:r w:rsidRPr="00270143">
        <w:rPr>
          <w:sz w:val="20"/>
          <w:szCs w:val="20"/>
          <w:lang w:val="en-US"/>
        </w:rPr>
        <w:t>: Race Representation and the meaning of liberty, New York Pantheon,</w:t>
      </w:r>
      <w:r w:rsidRPr="00270143">
        <w:rPr>
          <w:i/>
          <w:sz w:val="20"/>
          <w:szCs w:val="20"/>
          <w:lang w:val="en-US"/>
        </w:rPr>
        <w:t xml:space="preserve"> </w:t>
      </w:r>
      <w:r w:rsidRPr="00270143">
        <w:rPr>
          <w:sz w:val="20"/>
          <w:szCs w:val="20"/>
          <w:lang w:val="en-US"/>
        </w:rPr>
        <w:t xml:space="preserve">cited in Mullin, </w:t>
      </w:r>
      <w:r w:rsidRPr="00270143">
        <w:rPr>
          <w:i/>
          <w:sz w:val="20"/>
          <w:szCs w:val="20"/>
          <w:lang w:val="en-US"/>
        </w:rPr>
        <w:t>Reconceiving Pregnancy and Childcare,</w:t>
      </w:r>
      <w:r w:rsidRPr="00270143">
        <w:rPr>
          <w:sz w:val="20"/>
          <w:szCs w:val="20"/>
          <w:lang w:val="en-US"/>
        </w:rPr>
        <w:t xml:space="preserve"> p. 102.) There are also more local Models of Motherhood, for example, the Model of Black Motherhood, Asian Motherhood and Working Class Motherhood.  Some of these local Models of Motherhood display local forms of the types of objectification I describe.  I thank Aidan McGlynn for pressing me on this and Stella Villarmea, Catherine Mills and Elselijn Kingma for helping to develop my response.  </w:t>
      </w:r>
      <w:r w:rsidRPr="00270143">
        <w:rPr>
          <w:color w:val="FF0000"/>
          <w:sz w:val="20"/>
          <w:szCs w:val="20"/>
          <w:lang w:val="en-US"/>
        </w:rPr>
        <w:t xml:space="preserve"> </w:t>
      </w:r>
    </w:p>
  </w:footnote>
  <w:footnote w:id="20">
    <w:p w14:paraId="65CBF98C" w14:textId="347DFAF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Nussbaum, Martha, 1995, “Objectification”, </w:t>
      </w:r>
      <w:r w:rsidRPr="00270143">
        <w:rPr>
          <w:i/>
          <w:iCs/>
          <w:sz w:val="20"/>
          <w:szCs w:val="20"/>
          <w:lang w:val="en-US"/>
        </w:rPr>
        <w:t>Philosophy and Public Affairs</w:t>
      </w:r>
      <w:r w:rsidRPr="00270143">
        <w:rPr>
          <w:sz w:val="20"/>
          <w:szCs w:val="20"/>
          <w:lang w:val="en-US"/>
        </w:rPr>
        <w:t>, 24(4), p. 256-7.</w:t>
      </w:r>
    </w:p>
  </w:footnote>
  <w:footnote w:id="21">
    <w:p w14:paraId="672D0218" w14:textId="1842BFA1"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Nussbuam, “Objectification”, p. 257.</w:t>
      </w:r>
    </w:p>
  </w:footnote>
  <w:footnote w:id="22">
    <w:p w14:paraId="342F512E" w14:textId="0E3BB80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Nussbaum, “Objectification”,, p. 258.</w:t>
      </w:r>
    </w:p>
  </w:footnote>
  <w:footnote w:id="23">
    <w:p w14:paraId="6FE51BAB" w14:textId="3EA892EE"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Nussbaum, “Objectification”, p. 257</w:t>
      </w:r>
    </w:p>
  </w:footnote>
  <w:footnote w:id="24">
    <w:p w14:paraId="48897F03" w14:textId="5F39B01A"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Langton, </w:t>
      </w:r>
      <w:r w:rsidRPr="00270143">
        <w:rPr>
          <w:i/>
          <w:sz w:val="20"/>
          <w:szCs w:val="20"/>
          <w:lang w:val="en-US"/>
        </w:rPr>
        <w:t>Sexual Solipicism</w:t>
      </w:r>
      <w:r w:rsidRPr="00270143">
        <w:rPr>
          <w:sz w:val="20"/>
          <w:szCs w:val="20"/>
          <w:lang w:val="en-US"/>
        </w:rPr>
        <w:t>, p. 228-9.</w:t>
      </w:r>
    </w:p>
  </w:footnote>
  <w:footnote w:id="25">
    <w:p w14:paraId="3FE2286B" w14:textId="3EF5A7E1"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Langton, </w:t>
      </w:r>
      <w:r w:rsidRPr="00270143">
        <w:rPr>
          <w:i/>
          <w:sz w:val="20"/>
          <w:szCs w:val="20"/>
          <w:lang w:val="en-US"/>
        </w:rPr>
        <w:t>Sexual Solipicism</w:t>
      </w:r>
      <w:r w:rsidRPr="00270143">
        <w:rPr>
          <w:sz w:val="20"/>
          <w:szCs w:val="20"/>
          <w:lang w:val="en-US"/>
        </w:rPr>
        <w:t>, p. 236-7.</w:t>
      </w:r>
    </w:p>
  </w:footnote>
  <w:footnote w:id="26">
    <w:p w14:paraId="4C6A9EEB" w14:textId="71363814"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Langton, </w:t>
      </w:r>
      <w:r w:rsidRPr="00270143">
        <w:rPr>
          <w:i/>
          <w:sz w:val="20"/>
          <w:szCs w:val="20"/>
          <w:lang w:val="en-US"/>
        </w:rPr>
        <w:t>Sexual Solipicism</w:t>
      </w:r>
      <w:r w:rsidRPr="00270143">
        <w:rPr>
          <w:sz w:val="20"/>
          <w:szCs w:val="20"/>
          <w:lang w:val="en-US"/>
        </w:rPr>
        <w:t>, P. 236.</w:t>
      </w:r>
    </w:p>
  </w:footnote>
  <w:footnote w:id="27">
    <w:p w14:paraId="50B39681" w14:textId="020E8FCB"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See </w:t>
      </w:r>
      <w:r w:rsidRPr="00270143">
        <w:rPr>
          <w:sz w:val="20"/>
          <w:szCs w:val="20"/>
          <w:lang w:val="en-US"/>
        </w:rPr>
        <w:t xml:space="preserve">Langton, </w:t>
      </w:r>
      <w:r w:rsidRPr="00270143">
        <w:rPr>
          <w:i/>
          <w:sz w:val="20"/>
          <w:szCs w:val="20"/>
          <w:lang w:val="en-US"/>
        </w:rPr>
        <w:t>Sexual Solipicism</w:t>
      </w:r>
      <w:r w:rsidRPr="00270143">
        <w:rPr>
          <w:sz w:val="20"/>
          <w:szCs w:val="20"/>
          <w:lang w:val="en-US"/>
        </w:rPr>
        <w:t>,, p. 239.</w:t>
      </w:r>
    </w:p>
  </w:footnote>
  <w:footnote w:id="28">
    <w:p w14:paraId="0FFE9D19" w14:textId="03AEFE1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Langton, </w:t>
      </w:r>
      <w:r w:rsidRPr="00270143">
        <w:rPr>
          <w:i/>
          <w:sz w:val="20"/>
          <w:szCs w:val="20"/>
          <w:lang w:val="en-US"/>
        </w:rPr>
        <w:t>Sexual Solipicism</w:t>
      </w:r>
      <w:r w:rsidRPr="00270143">
        <w:rPr>
          <w:sz w:val="20"/>
          <w:szCs w:val="20"/>
          <w:lang w:val="en-US"/>
        </w:rPr>
        <w:t>, P. 240.</w:t>
      </w:r>
    </w:p>
  </w:footnote>
  <w:footnote w:id="29">
    <w:p w14:paraId="166AD1D5" w14:textId="79ACD37D" w:rsidR="007E2B23" w:rsidRPr="00270143" w:rsidRDefault="007E2B23" w:rsidP="00E84577">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Nussbaum, “Objectification” p. 258.</w:t>
      </w:r>
    </w:p>
  </w:footnote>
  <w:footnote w:id="30">
    <w:p w14:paraId="50472F33" w14:textId="0845272F"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Kukla, </w:t>
      </w:r>
      <w:r w:rsidRPr="00270143">
        <w:rPr>
          <w:i/>
          <w:sz w:val="20"/>
          <w:szCs w:val="20"/>
          <w:lang w:val="en-US"/>
        </w:rPr>
        <w:t>Mass Hysteria</w:t>
      </w:r>
      <w:r w:rsidRPr="00270143">
        <w:rPr>
          <w:sz w:val="20"/>
          <w:szCs w:val="20"/>
          <w:lang w:val="en-US"/>
        </w:rPr>
        <w:t>, p. 177-8</w:t>
      </w:r>
    </w:p>
  </w:footnote>
  <w:footnote w:id="31">
    <w:p w14:paraId="45E8811A" w14:textId="159BBE0A"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Kukla, </w:t>
      </w:r>
      <w:r w:rsidRPr="00270143">
        <w:rPr>
          <w:i/>
          <w:sz w:val="20"/>
          <w:szCs w:val="20"/>
          <w:lang w:val="en-US"/>
        </w:rPr>
        <w:t>Mass Hysteria,</w:t>
      </w:r>
      <w:r w:rsidRPr="00270143">
        <w:rPr>
          <w:sz w:val="20"/>
          <w:szCs w:val="20"/>
          <w:lang w:val="en-US"/>
        </w:rPr>
        <w:t xml:space="preserve"> p. 190.</w:t>
      </w:r>
    </w:p>
  </w:footnote>
  <w:footnote w:id="32">
    <w:p w14:paraId="79FD0C38" w14:textId="2519DC90" w:rsidR="007E2B23" w:rsidRPr="00270143" w:rsidRDefault="007E2B23" w:rsidP="00D83BEF">
      <w:pPr>
        <w:widowControl w:val="0"/>
        <w:autoSpaceDE w:val="0"/>
        <w:autoSpaceDN w:val="0"/>
        <w:adjustRightInd w:val="0"/>
        <w:spacing w:line="360" w:lineRule="auto"/>
        <w:rPr>
          <w:rFonts w:cs="Times"/>
          <w:sz w:val="20"/>
          <w:szCs w:val="20"/>
        </w:rPr>
      </w:pPr>
      <w:r w:rsidRPr="00270143">
        <w:rPr>
          <w:rStyle w:val="FootnoteReference"/>
          <w:sz w:val="20"/>
          <w:szCs w:val="20"/>
        </w:rPr>
        <w:footnoteRef/>
      </w:r>
      <w:r w:rsidRPr="00270143">
        <w:rPr>
          <w:sz w:val="20"/>
          <w:szCs w:val="20"/>
        </w:rPr>
        <w:t xml:space="preserve"> </w:t>
      </w:r>
      <w:r w:rsidRPr="00270143">
        <w:rPr>
          <w:sz w:val="20"/>
          <w:szCs w:val="20"/>
          <w:lang w:val="en-US"/>
        </w:rPr>
        <w:t xml:space="preserve">There is a significant amount of empirical research on the guilt and shame felt by women who are unable to, or choose not to, breastfeed.  </w:t>
      </w:r>
      <w:r w:rsidRPr="00270143">
        <w:rPr>
          <w:sz w:val="20"/>
          <w:szCs w:val="20"/>
        </w:rPr>
        <w:t xml:space="preserve">See, for example, </w:t>
      </w:r>
      <w:r w:rsidRPr="00270143">
        <w:rPr>
          <w:rFonts w:cs="Times"/>
          <w:sz w:val="20"/>
          <w:szCs w:val="20"/>
        </w:rPr>
        <w:t>(Lee E. (2007) Health, morality, and infant feeding: British mothers’ ex</w:t>
      </w:r>
      <w:r w:rsidR="00A9609B">
        <w:rPr>
          <w:rFonts w:cs="Times"/>
          <w:sz w:val="20"/>
          <w:szCs w:val="20"/>
        </w:rPr>
        <w:t>periences of formula milk use in</w:t>
      </w:r>
      <w:r w:rsidRPr="00270143">
        <w:rPr>
          <w:rFonts w:cs="Times"/>
          <w:sz w:val="20"/>
          <w:szCs w:val="20"/>
        </w:rPr>
        <w:t xml:space="preserve"> the early weeks. </w:t>
      </w:r>
      <w:r w:rsidRPr="00270143">
        <w:rPr>
          <w:rFonts w:cs="Times"/>
          <w:i/>
          <w:iCs/>
          <w:sz w:val="20"/>
          <w:szCs w:val="20"/>
        </w:rPr>
        <w:t xml:space="preserve">Sociology of Health and Illness </w:t>
      </w:r>
      <w:r w:rsidRPr="00270143">
        <w:rPr>
          <w:rFonts w:cs="Times"/>
          <w:b/>
          <w:bCs/>
          <w:sz w:val="20"/>
          <w:szCs w:val="20"/>
        </w:rPr>
        <w:t>29</w:t>
      </w:r>
      <w:r w:rsidRPr="00270143">
        <w:rPr>
          <w:rFonts w:cs="Times"/>
          <w:sz w:val="20"/>
          <w:szCs w:val="20"/>
        </w:rPr>
        <w:t xml:space="preserve">, 1075–1090; Lakshman R., Ogilvie D. &amp; Ong K.K. (2009) Mothers’ experiences of bottle-feeding: a systematic review of qualitative and quantitative studies. </w:t>
      </w:r>
      <w:r w:rsidRPr="00270143">
        <w:rPr>
          <w:rFonts w:cs="Times"/>
          <w:i/>
          <w:iCs/>
          <w:sz w:val="20"/>
          <w:szCs w:val="20"/>
        </w:rPr>
        <w:t xml:space="preserve">Archives of Disease in Childhood </w:t>
      </w:r>
      <w:r w:rsidRPr="00270143">
        <w:rPr>
          <w:rFonts w:cs="Times"/>
          <w:b/>
          <w:bCs/>
          <w:sz w:val="20"/>
          <w:szCs w:val="20"/>
        </w:rPr>
        <w:t>94</w:t>
      </w:r>
      <w:r w:rsidRPr="00270143">
        <w:rPr>
          <w:rFonts w:cs="Times"/>
          <w:sz w:val="20"/>
          <w:szCs w:val="20"/>
        </w:rPr>
        <w:t xml:space="preserve">, 596–601.).  </w:t>
      </w:r>
      <w:r w:rsidRPr="00270143">
        <w:rPr>
          <w:sz w:val="20"/>
          <w:szCs w:val="20"/>
          <w:lang w:val="en-US"/>
        </w:rPr>
        <w:t xml:space="preserve">See also </w:t>
      </w:r>
      <w:r w:rsidRPr="00270143">
        <w:rPr>
          <w:sz w:val="20"/>
          <w:szCs w:val="20"/>
        </w:rPr>
        <w:t xml:space="preserve">Rebecca Kukla, “Measuring Motherhood”, </w:t>
      </w:r>
      <w:r w:rsidRPr="00270143">
        <w:rPr>
          <w:i/>
          <w:sz w:val="20"/>
          <w:szCs w:val="20"/>
        </w:rPr>
        <w:t>International Journal of Feminist Approaches to Bioethics</w:t>
      </w:r>
      <w:r w:rsidR="00A9609B">
        <w:rPr>
          <w:sz w:val="20"/>
          <w:szCs w:val="20"/>
        </w:rPr>
        <w:t xml:space="preserve"> </w:t>
      </w:r>
      <w:r w:rsidRPr="00270143">
        <w:rPr>
          <w:sz w:val="20"/>
          <w:szCs w:val="20"/>
        </w:rPr>
        <w:t>1 (2008)</w:t>
      </w:r>
      <w:r w:rsidRPr="00270143">
        <w:rPr>
          <w:sz w:val="20"/>
          <w:szCs w:val="20"/>
          <w:lang w:val="en-US"/>
        </w:rPr>
        <w:t>on the way in which one’s ability or willingness to breastfeed is taken to be determinant of whether one is a good mother or not.</w:t>
      </w:r>
    </w:p>
  </w:footnote>
  <w:footnote w:id="33">
    <w:p w14:paraId="778124B4" w14:textId="155B03C4"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“Babies were born to be breastfed” campaign, Ad Council 2004.</w:t>
      </w:r>
      <w:r w:rsidRPr="00270143">
        <w:rPr>
          <w:sz w:val="20"/>
          <w:szCs w:val="20"/>
          <w:lang w:val="en-US"/>
        </w:rPr>
        <w:t xml:space="preserve">  Pictured on Kukla, </w:t>
      </w:r>
      <w:r w:rsidRPr="00270143">
        <w:rPr>
          <w:i/>
          <w:sz w:val="20"/>
          <w:szCs w:val="20"/>
          <w:lang w:val="en-US"/>
        </w:rPr>
        <w:t xml:space="preserve">Mass Hysteria, </w:t>
      </w:r>
      <w:r w:rsidRPr="00270143">
        <w:rPr>
          <w:sz w:val="20"/>
          <w:szCs w:val="20"/>
          <w:lang w:val="en-US"/>
        </w:rPr>
        <w:t>p. 190.</w:t>
      </w:r>
    </w:p>
  </w:footnote>
  <w:footnote w:id="34">
    <w:p w14:paraId="068563BF" w14:textId="10D7B479"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hyperlink r:id="rId3" w:history="1">
        <w:r w:rsidRPr="00270143">
          <w:rPr>
            <w:rStyle w:val="Hyperlink"/>
            <w:sz w:val="20"/>
            <w:szCs w:val="20"/>
          </w:rPr>
          <w:t>http://www.stuff.co.nz/life-style/well-good/4164167/Grow-up-men-Breasts-are-for-babies</w:t>
        </w:r>
      </w:hyperlink>
      <w:r w:rsidRPr="00270143">
        <w:rPr>
          <w:sz w:val="20"/>
          <w:szCs w:val="20"/>
        </w:rPr>
        <w:t xml:space="preserve"> accessed 29th July 2016.</w:t>
      </w:r>
    </w:p>
  </w:footnote>
  <w:footnote w:id="35">
    <w:p w14:paraId="69D3E9F4" w14:textId="77777777" w:rsidR="007E2B23" w:rsidRPr="00270143" w:rsidRDefault="007E2B23" w:rsidP="00281FA7">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See “My Breasts Are for Me, Not Just for Feeding Babies”</w:t>
      </w:r>
    </w:p>
    <w:p w14:paraId="35B0F6C6" w14:textId="69E24BD3" w:rsidR="007E2B23" w:rsidRPr="00270143" w:rsidRDefault="007E2B23" w:rsidP="00281FA7">
      <w:pPr>
        <w:pStyle w:val="FootnoteText"/>
        <w:rPr>
          <w:sz w:val="20"/>
          <w:szCs w:val="20"/>
          <w:lang w:val="en-US"/>
        </w:rPr>
      </w:pPr>
      <w:r w:rsidRPr="00270143">
        <w:rPr>
          <w:sz w:val="20"/>
          <w:szCs w:val="20"/>
          <w:lang w:val="en-US"/>
        </w:rPr>
        <w:t xml:space="preserve"> https://www.psychologytoday.com/blog/dry-land-fish/201304/my-breasts-are-me-not-just-feeding-babies</w:t>
      </w:r>
    </w:p>
  </w:footnote>
  <w:footnote w:id="36">
    <w:p w14:paraId="31322935" w14:textId="63CE950B" w:rsidR="007E2B23" w:rsidRPr="00270143" w:rsidRDefault="007E2B23">
      <w:pPr>
        <w:pStyle w:val="FootnoteText"/>
        <w:rPr>
          <w:sz w:val="20"/>
          <w:szCs w:val="20"/>
        </w:rPr>
      </w:pPr>
      <w:r w:rsidRPr="00270143">
        <w:rPr>
          <w:rStyle w:val="FootnoteReference"/>
          <w:sz w:val="20"/>
          <w:szCs w:val="20"/>
        </w:rPr>
        <w:footnoteRef/>
      </w:r>
      <w:r w:rsidRPr="00270143">
        <w:rPr>
          <w:sz w:val="20"/>
          <w:szCs w:val="20"/>
        </w:rPr>
        <w:t xml:space="preserve"> I thank Elselijn Kingma for help with the ideas in this paragraph and how to convey them.</w:t>
      </w:r>
    </w:p>
  </w:footnote>
  <w:footnote w:id="37">
    <w:p w14:paraId="2A8E6780" w14:textId="255EFF8D"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Kukla, </w:t>
      </w:r>
      <w:r w:rsidRPr="00270143">
        <w:rPr>
          <w:i/>
          <w:sz w:val="20"/>
          <w:szCs w:val="20"/>
          <w:lang w:val="en-US"/>
        </w:rPr>
        <w:t>Mass Hysteria,</w:t>
      </w:r>
      <w:r w:rsidRPr="00270143">
        <w:rPr>
          <w:sz w:val="20"/>
          <w:szCs w:val="20"/>
          <w:lang w:val="en-US"/>
        </w:rPr>
        <w:t xml:space="preserve"> p. 190.</w:t>
      </w:r>
    </w:p>
  </w:footnote>
  <w:footnote w:id="38">
    <w:p w14:paraId="1620EADE" w14:textId="0B359110"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hyperlink r:id="rId4" w:history="1">
        <w:r w:rsidRPr="00270143">
          <w:rPr>
            <w:rStyle w:val="Hyperlink"/>
            <w:sz w:val="20"/>
            <w:szCs w:val="20"/>
          </w:rPr>
          <w:t>http://www.vocativ.com/278919/pregnancy-alcohol-use-cdc/</w:t>
        </w:r>
      </w:hyperlink>
      <w:r w:rsidRPr="00270143">
        <w:rPr>
          <w:sz w:val="20"/>
          <w:szCs w:val="20"/>
        </w:rPr>
        <w:t xml:space="preserve">  For a brilliant public philosophy piece on the problems with the ‘why take the risk’ approach to advice on drinking in pregnancy, </w:t>
      </w:r>
      <w:r w:rsidRPr="00270143">
        <w:rPr>
          <w:sz w:val="20"/>
          <w:szCs w:val="20"/>
          <w:lang w:val="en-US"/>
        </w:rPr>
        <w:t>see also Kukla’s LA Times Op Ed.  http://www.latimes.com/opinion/op-ed/la-oe-0210-kukla-cdc-alcohol-pregnancy-20160210-story.html</w:t>
      </w:r>
    </w:p>
  </w:footnote>
  <w:footnote w:id="39">
    <w:p w14:paraId="59781D41" w14:textId="5270F545"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See Mullin, </w:t>
      </w:r>
      <w:r w:rsidRPr="00270143">
        <w:rPr>
          <w:i/>
          <w:sz w:val="20"/>
          <w:szCs w:val="20"/>
          <w:lang w:val="en-US"/>
        </w:rPr>
        <w:t xml:space="preserve">Reconceiving Pregnancy and Childbirth, </w:t>
      </w:r>
      <w:r w:rsidRPr="00270143">
        <w:rPr>
          <w:sz w:val="20"/>
          <w:szCs w:val="20"/>
          <w:lang w:val="en-US"/>
        </w:rPr>
        <w:t xml:space="preserve">p. 2, Chapter 7. Kukla, </w:t>
      </w:r>
      <w:r w:rsidRPr="00270143">
        <w:rPr>
          <w:i/>
          <w:sz w:val="20"/>
          <w:szCs w:val="20"/>
          <w:lang w:val="en-US"/>
        </w:rPr>
        <w:t>Mass Hysteria, Chapter 5</w:t>
      </w:r>
      <w:r w:rsidRPr="00270143">
        <w:rPr>
          <w:sz w:val="20"/>
          <w:szCs w:val="20"/>
          <w:lang w:val="en-US"/>
        </w:rPr>
        <w:t>.</w:t>
      </w:r>
    </w:p>
  </w:footnote>
  <w:footnote w:id="40">
    <w:p w14:paraId="61528ED4" w14:textId="77777777" w:rsidR="007E2B23" w:rsidRPr="00270143" w:rsidRDefault="007E2B23" w:rsidP="00B120BD">
      <w:pPr>
        <w:pStyle w:val="NormalWeb"/>
        <w:rPr>
          <w:rFonts w:ascii="Times" w:hAnsi="Times"/>
          <w:b/>
          <w:sz w:val="20"/>
          <w:szCs w:val="20"/>
        </w:rPr>
      </w:pPr>
      <w:r w:rsidRPr="00270143">
        <w:rPr>
          <w:rStyle w:val="FootnoteReference"/>
          <w:sz w:val="20"/>
          <w:szCs w:val="20"/>
        </w:rPr>
        <w:footnoteRef/>
      </w:r>
      <w:r w:rsidRPr="00270143">
        <w:rPr>
          <w:sz w:val="20"/>
          <w:szCs w:val="20"/>
        </w:rPr>
        <w:t xml:space="preserve"> </w:t>
      </w:r>
      <w:r w:rsidRPr="00270143">
        <w:rPr>
          <w:rFonts w:ascii="Times" w:hAnsi="Times"/>
          <w:sz w:val="20"/>
          <w:szCs w:val="20"/>
        </w:rPr>
        <w:t>Rebecca Kukla</w:t>
      </w:r>
      <w:r w:rsidRPr="00270143">
        <w:rPr>
          <w:rFonts w:ascii="Times" w:hAnsi="Times"/>
          <w:i/>
          <w:sz w:val="20"/>
          <w:szCs w:val="20"/>
        </w:rPr>
        <w:t xml:space="preserve"> Mass Hysteria:  Medicine, Culture, and Mothers’ Bodies</w:t>
      </w:r>
      <w:r w:rsidRPr="00270143">
        <w:rPr>
          <w:rFonts w:ascii="Times" w:hAnsi="Times"/>
          <w:sz w:val="20"/>
          <w:szCs w:val="20"/>
        </w:rPr>
        <w:t>, p. 175-6</w:t>
      </w:r>
    </w:p>
  </w:footnote>
  <w:footnote w:id="41">
    <w:p w14:paraId="0BC60A7C" w14:textId="0DA7CC29"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For discussion of the way in which ideology might shape desire in the particular case of new mothers see Kukla, </w:t>
      </w:r>
      <w:r w:rsidRPr="00270143">
        <w:rPr>
          <w:i/>
          <w:sz w:val="20"/>
          <w:szCs w:val="20"/>
          <w:lang w:val="en-US"/>
        </w:rPr>
        <w:t>Mass Hysteria,</w:t>
      </w:r>
      <w:r w:rsidRPr="00270143">
        <w:rPr>
          <w:sz w:val="20"/>
          <w:szCs w:val="20"/>
          <w:lang w:val="en-US"/>
        </w:rPr>
        <w:t xml:space="preserve"> 175-177. </w:t>
      </w:r>
    </w:p>
  </w:footnote>
  <w:footnote w:id="42">
    <w:p w14:paraId="7AEAC36D" w14:textId="3AC8CC8E"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Nussbaum, “Objectification”, p. 257.</w:t>
      </w:r>
    </w:p>
  </w:footnote>
  <w:footnote w:id="43">
    <w:p w14:paraId="3710CF41" w14:textId="30C64B34"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Ibid.</w:t>
      </w:r>
    </w:p>
  </w:footnote>
  <w:footnote w:id="44">
    <w:p w14:paraId="61E5233F" w14:textId="230360E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I thank Catherine Mills for pointing this out.</w:t>
      </w:r>
    </w:p>
  </w:footnote>
  <w:footnote w:id="45">
    <w:p w14:paraId="4735F2AA" w14:textId="5E01B8E4" w:rsidR="007E2B23" w:rsidRPr="00270143" w:rsidRDefault="007E2B23" w:rsidP="00BC6209">
      <w:pPr>
        <w:pStyle w:val="FootnoteText"/>
        <w:rPr>
          <w:sz w:val="20"/>
          <w:szCs w:val="20"/>
        </w:rPr>
      </w:pPr>
      <w:r w:rsidRPr="00270143">
        <w:rPr>
          <w:rStyle w:val="FootnoteReference"/>
          <w:sz w:val="20"/>
          <w:szCs w:val="20"/>
        </w:rPr>
        <w:footnoteRef/>
      </w:r>
      <w:r w:rsidRPr="00270143">
        <w:rPr>
          <w:sz w:val="20"/>
          <w:szCs w:val="20"/>
        </w:rPr>
        <w:t xml:space="preserve"> Sandra Lee Bartky “Focault, Feminity and the Modernisation of Patriarchal Power” In Diana Tietjens Meyers (ed), </w:t>
      </w:r>
      <w:r w:rsidRPr="00270143">
        <w:rPr>
          <w:i/>
          <w:sz w:val="20"/>
          <w:szCs w:val="20"/>
        </w:rPr>
        <w:t>Feminist Social Thought: A Reader</w:t>
      </w:r>
      <w:r w:rsidRPr="00270143">
        <w:rPr>
          <w:sz w:val="20"/>
          <w:szCs w:val="20"/>
        </w:rPr>
        <w:t xml:space="preserve"> (Routledge, 1997), p. 103.</w:t>
      </w:r>
    </w:p>
  </w:footnote>
  <w:footnote w:id="46">
    <w:p w14:paraId="47AB5585" w14:textId="552D06F6"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Ibid, p. 102-3.</w:t>
      </w:r>
    </w:p>
  </w:footnote>
  <w:footnote w:id="47">
    <w:p w14:paraId="72DD3B50" w14:textId="6219092D" w:rsidR="007E2B23" w:rsidRPr="00270143" w:rsidRDefault="007E2B23" w:rsidP="007C4001">
      <w:pPr>
        <w:pStyle w:val="FootnoteText"/>
        <w:rPr>
          <w:sz w:val="20"/>
          <w:szCs w:val="20"/>
        </w:rPr>
      </w:pPr>
      <w:r w:rsidRPr="00270143">
        <w:rPr>
          <w:rStyle w:val="FootnoteReference"/>
          <w:sz w:val="20"/>
          <w:szCs w:val="20"/>
        </w:rPr>
        <w:footnoteRef/>
      </w:r>
      <w:r w:rsidRPr="00270143">
        <w:rPr>
          <w:sz w:val="20"/>
          <w:szCs w:val="20"/>
        </w:rPr>
        <w:t xml:space="preserve"> See Nussbaum, “Objectification” p. 290.</w:t>
      </w:r>
    </w:p>
  </w:footnote>
  <w:footnote w:id="48">
    <w:p w14:paraId="7219E5EA" w14:textId="640DB237" w:rsidR="007E2B23" w:rsidRPr="00270143" w:rsidRDefault="007E2B23" w:rsidP="005B4A46">
      <w:pPr>
        <w:pStyle w:val="FootnoteText"/>
        <w:rPr>
          <w:sz w:val="20"/>
          <w:szCs w:val="20"/>
          <w:lang w:val="en-US"/>
        </w:rPr>
      </w:pPr>
      <w:r w:rsidRPr="00270143">
        <w:rPr>
          <w:rStyle w:val="FootnoteReference"/>
          <w:sz w:val="20"/>
          <w:szCs w:val="20"/>
        </w:rPr>
        <w:footnoteRef/>
      </w:r>
      <w:r w:rsidRPr="00270143">
        <w:rPr>
          <w:sz w:val="20"/>
          <w:szCs w:val="20"/>
        </w:rPr>
        <w:t xml:space="preserve"> Nussbaum, “Objectification”, </w:t>
      </w:r>
      <w:r w:rsidRPr="00270143">
        <w:rPr>
          <w:sz w:val="20"/>
          <w:szCs w:val="20"/>
          <w:lang w:val="en-US"/>
        </w:rPr>
        <w:t>p. 273.</w:t>
      </w:r>
    </w:p>
  </w:footnote>
  <w:footnote w:id="49">
    <w:p w14:paraId="5A056E2C" w14:textId="491FE21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Nussbaum, “Objectification”, </w:t>
      </w:r>
      <w:r w:rsidRPr="00270143">
        <w:rPr>
          <w:sz w:val="20"/>
          <w:szCs w:val="20"/>
          <w:lang w:val="en-US"/>
        </w:rPr>
        <w:t xml:space="preserve">p. 274.  Here Nussbaum is referencing remarks by Cass Sunstein in a review of Nadine Strossen’s book defending pornography, Cass Sunstein, “Review of Strossen”, </w:t>
      </w:r>
      <w:r w:rsidRPr="00270143">
        <w:rPr>
          <w:i/>
          <w:sz w:val="20"/>
          <w:szCs w:val="20"/>
          <w:lang w:val="en-US"/>
        </w:rPr>
        <w:t>The New Republic</w:t>
      </w:r>
      <w:r w:rsidRPr="00270143">
        <w:rPr>
          <w:sz w:val="20"/>
          <w:szCs w:val="20"/>
          <w:lang w:val="en-US"/>
        </w:rPr>
        <w:t xml:space="preserve">, 9 January 1995, quoted Nussbaum, “Objectification” p. 250-251. Nadine Strossen, </w:t>
      </w:r>
      <w:r w:rsidRPr="00270143">
        <w:rPr>
          <w:i/>
          <w:sz w:val="20"/>
          <w:szCs w:val="20"/>
          <w:lang w:val="en-US"/>
        </w:rPr>
        <w:t>Defending Pornography: Free Speech, Sex, and the Fight for Women's Rights</w:t>
      </w:r>
      <w:r w:rsidRPr="00270143">
        <w:rPr>
          <w:sz w:val="20"/>
          <w:szCs w:val="20"/>
          <w:lang w:val="en-US"/>
        </w:rPr>
        <w:t xml:space="preserve"> (New York: Scribner, 1995). </w:t>
      </w:r>
    </w:p>
  </w:footnote>
  <w:footnote w:id="50">
    <w:p w14:paraId="6EAA6E33" w14:textId="4BAE0BA9"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Leslie </w:t>
      </w:r>
      <w:r w:rsidRPr="00270143">
        <w:rPr>
          <w:sz w:val="20"/>
          <w:szCs w:val="20"/>
          <w:lang w:val="en-US"/>
        </w:rPr>
        <w:t xml:space="preserve">Green, “Pornographies”, </w:t>
      </w:r>
      <w:r w:rsidRPr="00270143">
        <w:rPr>
          <w:i/>
          <w:sz w:val="20"/>
          <w:szCs w:val="20"/>
          <w:lang w:val="en-US"/>
        </w:rPr>
        <w:t xml:space="preserve">Journal of Political Philosophy, </w:t>
      </w:r>
      <w:r w:rsidR="007700B1" w:rsidRPr="00270143">
        <w:rPr>
          <w:sz w:val="20"/>
          <w:szCs w:val="20"/>
          <w:lang w:val="en-US"/>
        </w:rPr>
        <w:t>8 (1), 2000</w:t>
      </w:r>
      <w:r w:rsidRPr="00270143">
        <w:rPr>
          <w:sz w:val="20"/>
          <w:szCs w:val="20"/>
          <w:lang w:val="en-US"/>
        </w:rPr>
        <w:t>, p. 46.</w:t>
      </w:r>
    </w:p>
  </w:footnote>
  <w:footnote w:id="51">
    <w:p w14:paraId="23D6CE7E" w14:textId="1C73FED4"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Nussbaum</w:t>
      </w:r>
      <w:r w:rsidR="00DD23AD" w:rsidRPr="00270143">
        <w:rPr>
          <w:sz w:val="20"/>
          <w:szCs w:val="20"/>
          <w:lang w:val="en-US"/>
        </w:rPr>
        <w:t xml:space="preserve"> “Objectification”</w:t>
      </w:r>
      <w:r w:rsidRPr="00270143">
        <w:rPr>
          <w:sz w:val="20"/>
          <w:szCs w:val="20"/>
          <w:lang w:val="en-US"/>
        </w:rPr>
        <w:t>,</w:t>
      </w:r>
      <w:r w:rsidR="00DD23AD" w:rsidRPr="00270143">
        <w:rPr>
          <w:sz w:val="20"/>
          <w:szCs w:val="20"/>
          <w:lang w:val="en-US"/>
        </w:rPr>
        <w:t xml:space="preserve"> p.</w:t>
      </w:r>
      <w:r w:rsidRPr="00270143">
        <w:rPr>
          <w:sz w:val="20"/>
          <w:szCs w:val="20"/>
          <w:lang w:val="en-US"/>
        </w:rPr>
        <w:t>273.</w:t>
      </w:r>
    </w:p>
  </w:footnote>
  <w:footnote w:id="52">
    <w:p w14:paraId="00EC208E" w14:textId="73F3FB90"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DD23AD" w:rsidRPr="00270143">
        <w:rPr>
          <w:sz w:val="20"/>
          <w:szCs w:val="20"/>
          <w:lang w:val="en-US"/>
        </w:rPr>
        <w:t>Nussbaum “Objectification”, p.273</w:t>
      </w:r>
      <w:r w:rsidRPr="00270143">
        <w:rPr>
          <w:sz w:val="20"/>
          <w:szCs w:val="20"/>
          <w:lang w:val="en-US"/>
        </w:rPr>
        <w:t>.</w:t>
      </w:r>
    </w:p>
  </w:footnote>
  <w:footnote w:id="53">
    <w:p w14:paraId="4E4E5E21" w14:textId="0423833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DD23AD" w:rsidRPr="00270143">
        <w:rPr>
          <w:sz w:val="20"/>
          <w:szCs w:val="20"/>
          <w:lang w:val="en-US"/>
        </w:rPr>
        <w:t>Nussbaum “Objectification”, p.273</w:t>
      </w:r>
      <w:r w:rsidRPr="00270143">
        <w:rPr>
          <w:sz w:val="20"/>
          <w:szCs w:val="20"/>
          <w:lang w:val="en-US"/>
        </w:rPr>
        <w:t>.</w:t>
      </w:r>
    </w:p>
  </w:footnote>
  <w:footnote w:id="54">
    <w:p w14:paraId="21E0710A" w14:textId="1358DFA5"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A03C07" w:rsidRPr="00270143">
        <w:rPr>
          <w:sz w:val="20"/>
          <w:szCs w:val="20"/>
          <w:lang w:val="en-US"/>
        </w:rPr>
        <w:t xml:space="preserve">Nussbaum “Objectification”, p. </w:t>
      </w:r>
      <w:r w:rsidRPr="00270143">
        <w:rPr>
          <w:sz w:val="20"/>
          <w:szCs w:val="20"/>
          <w:lang w:val="en-US"/>
        </w:rPr>
        <w:t>275.</w:t>
      </w:r>
    </w:p>
  </w:footnote>
  <w:footnote w:id="55">
    <w:p w14:paraId="0134D52D" w14:textId="5547DE14" w:rsidR="007E2B23" w:rsidRPr="00270143" w:rsidRDefault="007E2B23" w:rsidP="00E23803">
      <w:pPr>
        <w:pStyle w:val="FootnoteText"/>
        <w:rPr>
          <w:sz w:val="20"/>
          <w:szCs w:val="20"/>
          <w:lang w:val="en-US"/>
        </w:rPr>
      </w:pPr>
      <w:r w:rsidRPr="00270143">
        <w:rPr>
          <w:rStyle w:val="FootnoteReference"/>
          <w:sz w:val="20"/>
          <w:szCs w:val="20"/>
        </w:rPr>
        <w:footnoteRef/>
      </w:r>
      <w:r w:rsidRPr="00270143">
        <w:rPr>
          <w:sz w:val="20"/>
          <w:szCs w:val="20"/>
        </w:rPr>
        <w:t xml:space="preserve"> </w:t>
      </w:r>
      <w:r w:rsidR="00A03C07" w:rsidRPr="00270143">
        <w:rPr>
          <w:sz w:val="20"/>
          <w:szCs w:val="20"/>
          <w:lang w:val="en-US"/>
        </w:rPr>
        <w:t xml:space="preserve">Nussbaum “Objectification”, p. </w:t>
      </w:r>
      <w:r w:rsidRPr="00270143">
        <w:rPr>
          <w:sz w:val="20"/>
          <w:szCs w:val="20"/>
          <w:lang w:val="en-US"/>
        </w:rPr>
        <w:t>275.</w:t>
      </w:r>
    </w:p>
  </w:footnote>
  <w:footnote w:id="56">
    <w:p w14:paraId="62E2C9E8" w14:textId="7F03E9D5" w:rsidR="007E2B23" w:rsidRPr="00270143" w:rsidRDefault="007E2B23" w:rsidP="00E23803">
      <w:pPr>
        <w:pStyle w:val="FootnoteText"/>
        <w:rPr>
          <w:sz w:val="20"/>
          <w:szCs w:val="20"/>
          <w:lang w:val="en-US"/>
        </w:rPr>
      </w:pPr>
      <w:r w:rsidRPr="00270143">
        <w:rPr>
          <w:rStyle w:val="FootnoteReference"/>
          <w:sz w:val="20"/>
          <w:szCs w:val="20"/>
        </w:rPr>
        <w:footnoteRef/>
      </w:r>
      <w:r w:rsidRPr="00270143">
        <w:rPr>
          <w:sz w:val="20"/>
          <w:szCs w:val="20"/>
        </w:rPr>
        <w:t xml:space="preserve"> </w:t>
      </w:r>
      <w:r w:rsidR="00A03C07" w:rsidRPr="00270143">
        <w:rPr>
          <w:sz w:val="20"/>
          <w:szCs w:val="20"/>
          <w:lang w:val="en-US"/>
        </w:rPr>
        <w:t xml:space="preserve">Nussbaum “Objectification”, p. </w:t>
      </w:r>
      <w:r w:rsidRPr="00270143">
        <w:rPr>
          <w:sz w:val="20"/>
          <w:szCs w:val="20"/>
          <w:lang w:val="en-US"/>
        </w:rPr>
        <w:t>290.</w:t>
      </w:r>
    </w:p>
  </w:footnote>
  <w:footnote w:id="57">
    <w:p w14:paraId="3168A9B7" w14:textId="47FA7A52" w:rsidR="007E2B23" w:rsidRPr="00270143" w:rsidRDefault="007E2B23" w:rsidP="00E2380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Green,</w:t>
      </w:r>
      <w:r w:rsidR="00A03C07" w:rsidRPr="00270143">
        <w:rPr>
          <w:sz w:val="20"/>
          <w:szCs w:val="20"/>
          <w:lang w:val="en-US"/>
        </w:rPr>
        <w:t xml:space="preserve"> “Pornographies”,</w:t>
      </w:r>
      <w:r w:rsidRPr="00270143">
        <w:rPr>
          <w:sz w:val="20"/>
          <w:szCs w:val="20"/>
          <w:lang w:val="en-US"/>
        </w:rPr>
        <w:t xml:space="preserve"> p. 46.</w:t>
      </w:r>
    </w:p>
  </w:footnote>
  <w:footnote w:id="58">
    <w:p w14:paraId="1743AE05" w14:textId="2DFE0580" w:rsidR="007E2B23" w:rsidRPr="00270143" w:rsidRDefault="007E2B23" w:rsidP="00E2380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Green,</w:t>
      </w:r>
      <w:r w:rsidR="00A03C07" w:rsidRPr="00270143">
        <w:rPr>
          <w:sz w:val="20"/>
          <w:szCs w:val="20"/>
          <w:lang w:val="en-US"/>
        </w:rPr>
        <w:t xml:space="preserve"> “Pornographies”</w:t>
      </w:r>
      <w:r w:rsidRPr="00270143">
        <w:rPr>
          <w:sz w:val="20"/>
          <w:szCs w:val="20"/>
          <w:lang w:val="en-US"/>
        </w:rPr>
        <w:t xml:space="preserve"> p. 46.</w:t>
      </w:r>
    </w:p>
  </w:footnote>
  <w:footnote w:id="59">
    <w:p w14:paraId="35617EEF" w14:textId="6D823B34" w:rsidR="007E2B23" w:rsidRPr="00270143" w:rsidRDefault="007E2B23" w:rsidP="000A51DF">
      <w:pPr>
        <w:pStyle w:val="FootnoteText"/>
        <w:rPr>
          <w:sz w:val="20"/>
          <w:szCs w:val="20"/>
          <w:lang w:val="en-US"/>
        </w:rPr>
      </w:pPr>
      <w:r w:rsidRPr="00270143">
        <w:rPr>
          <w:rStyle w:val="FootnoteReference"/>
          <w:sz w:val="20"/>
          <w:szCs w:val="20"/>
        </w:rPr>
        <w:footnoteRef/>
      </w:r>
      <w:r w:rsidRPr="00270143">
        <w:rPr>
          <w:sz w:val="20"/>
          <w:szCs w:val="20"/>
        </w:rPr>
        <w:t xml:space="preserve"> Nussbaum</w:t>
      </w:r>
      <w:r w:rsidR="00A03C07" w:rsidRPr="00270143">
        <w:rPr>
          <w:sz w:val="20"/>
          <w:szCs w:val="20"/>
        </w:rPr>
        <w:t xml:space="preserve"> “Objectification”</w:t>
      </w:r>
      <w:r w:rsidRPr="00270143">
        <w:rPr>
          <w:sz w:val="20"/>
          <w:szCs w:val="20"/>
        </w:rPr>
        <w:t>,</w:t>
      </w:r>
      <w:r w:rsidR="00A03C07" w:rsidRPr="00270143">
        <w:rPr>
          <w:sz w:val="20"/>
          <w:szCs w:val="20"/>
        </w:rPr>
        <w:t xml:space="preserve"> p.</w:t>
      </w:r>
      <w:r w:rsidRPr="00270143">
        <w:rPr>
          <w:sz w:val="20"/>
          <w:szCs w:val="20"/>
          <w:lang w:val="en-US"/>
        </w:rPr>
        <w:t>257, quoted Green</w:t>
      </w:r>
      <w:r w:rsidR="00A03C07" w:rsidRPr="00270143">
        <w:rPr>
          <w:sz w:val="20"/>
          <w:szCs w:val="20"/>
          <w:lang w:val="en-US"/>
        </w:rPr>
        <w:t>, “Pornographies”</w:t>
      </w:r>
      <w:r w:rsidRPr="00270143">
        <w:rPr>
          <w:sz w:val="20"/>
          <w:szCs w:val="20"/>
          <w:lang w:val="en-US"/>
        </w:rPr>
        <w:t>, p. 44.</w:t>
      </w:r>
    </w:p>
  </w:footnote>
  <w:footnote w:id="60">
    <w:p w14:paraId="784F6A24" w14:textId="25D868BF" w:rsidR="007E2B23" w:rsidRPr="00270143" w:rsidRDefault="007E2B23" w:rsidP="000A51DF">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Green,</w:t>
      </w:r>
      <w:r w:rsidR="00A03C07" w:rsidRPr="00270143">
        <w:rPr>
          <w:sz w:val="20"/>
          <w:szCs w:val="20"/>
          <w:lang w:val="en-US"/>
        </w:rPr>
        <w:t xml:space="preserve"> “Pornographies”,</w:t>
      </w:r>
      <w:r w:rsidRPr="00270143">
        <w:rPr>
          <w:sz w:val="20"/>
          <w:szCs w:val="20"/>
          <w:lang w:val="en-US"/>
        </w:rPr>
        <w:t xml:space="preserve"> p. 44.</w:t>
      </w:r>
    </w:p>
  </w:footnote>
  <w:footnote w:id="61">
    <w:p w14:paraId="173A24F1" w14:textId="4A88E6F9"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Nussbaum, “Objectification”, p. 259.</w:t>
      </w:r>
    </w:p>
  </w:footnote>
  <w:footnote w:id="62">
    <w:p w14:paraId="16ABD4E2" w14:textId="73E15B65"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A03C07" w:rsidRPr="00270143">
        <w:rPr>
          <w:sz w:val="20"/>
          <w:szCs w:val="20"/>
        </w:rPr>
        <w:t>Nussbaum, “Objectification”, p. 275.</w:t>
      </w:r>
    </w:p>
  </w:footnote>
  <w:footnote w:id="63">
    <w:p w14:paraId="1B76D59C" w14:textId="4DBE13F2"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It was suggested to me in conversation that there is an incoherence at the heart of the Model of Motherhood.  The Model treats the needs of children as deeply valuable while the needs of mothers are seen as important.  But a significant number of these children will grow up to become mothers, whose needs are then held to be unimportant.  I’m not sure that there is a logical incoherence here.  One might hold that these children become unimportant either when they grow up or when they become mothers.  Nonetheless, they does seem to be at the very least a tension in holding that your daughter’s needs are intensely important until she has a child.    </w:t>
      </w:r>
    </w:p>
  </w:footnote>
  <w:footnote w:id="64">
    <w:p w14:paraId="50EC6AB5" w14:textId="7E2441D1" w:rsidR="007E2B23" w:rsidRPr="00270143" w:rsidRDefault="007E2B23" w:rsidP="00D853E6">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I give heartfelt thanks to Elselijn Kingma who helped my understanding of both these accounts of objectification and the implications for them of objectification in the </w:t>
      </w:r>
      <w:r w:rsidR="007B606E">
        <w:rPr>
          <w:sz w:val="20"/>
          <w:szCs w:val="20"/>
          <w:lang w:val="en-US"/>
        </w:rPr>
        <w:t>Model of M</w:t>
      </w:r>
      <w:bookmarkStart w:id="0" w:name="_GoBack"/>
      <w:bookmarkEnd w:id="0"/>
      <w:r w:rsidRPr="00270143">
        <w:rPr>
          <w:sz w:val="20"/>
          <w:szCs w:val="20"/>
          <w:lang w:val="en-US"/>
        </w:rPr>
        <w:t>otherhood.</w:t>
      </w:r>
    </w:p>
  </w:footnote>
  <w:footnote w:id="65">
    <w:p w14:paraId="55E16B75" w14:textId="510C5CC5"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A03C07" w:rsidRPr="00270143">
        <w:rPr>
          <w:rFonts w:ascii="Book Antiqua" w:hAnsi="Book Antiqua" w:cs="Helvetica"/>
          <w:sz w:val="20"/>
          <w:szCs w:val="20"/>
          <w:lang w:val="en-US"/>
        </w:rPr>
        <w:t xml:space="preserve">MacKinnon, Catharine, 1987, </w:t>
      </w:r>
      <w:r w:rsidR="00A03C07" w:rsidRPr="00270143">
        <w:rPr>
          <w:rFonts w:ascii="Book Antiqua" w:hAnsi="Book Antiqua" w:cs="Helvetica"/>
          <w:i/>
          <w:iCs/>
          <w:sz w:val="20"/>
          <w:szCs w:val="20"/>
          <w:lang w:val="en-US"/>
        </w:rPr>
        <w:t>Feminism Unmodified</w:t>
      </w:r>
      <w:r w:rsidR="00A03C07" w:rsidRPr="00270143">
        <w:rPr>
          <w:rFonts w:ascii="Book Antiqua" w:hAnsi="Book Antiqua" w:cs="Helvetica"/>
          <w:sz w:val="20"/>
          <w:szCs w:val="20"/>
          <w:lang w:val="en-US"/>
        </w:rPr>
        <w:t>, Cambridge, Massachusetts, and London, England: Harvard University Press</w:t>
      </w:r>
      <w:r w:rsidRPr="00270143">
        <w:rPr>
          <w:rFonts w:ascii="Book Antiqua" w:hAnsi="Book Antiqua" w:cs="Helvetica"/>
          <w:sz w:val="20"/>
          <w:szCs w:val="20"/>
          <w:lang w:val="en-US"/>
        </w:rPr>
        <w:t>,</w:t>
      </w:r>
      <w:r w:rsidR="00A03C07" w:rsidRPr="00270143">
        <w:rPr>
          <w:rFonts w:ascii="Book Antiqua" w:hAnsi="Book Antiqua" w:cs="Helvetica"/>
          <w:sz w:val="20"/>
          <w:szCs w:val="20"/>
          <w:lang w:val="en-US"/>
        </w:rPr>
        <w:t xml:space="preserve"> p. </w:t>
      </w:r>
      <w:r w:rsidRPr="00270143">
        <w:rPr>
          <w:rFonts w:ascii="Book Antiqua" w:hAnsi="Book Antiqua" w:cs="Helvetica"/>
          <w:sz w:val="20"/>
          <w:szCs w:val="20"/>
          <w:lang w:val="en-US"/>
        </w:rPr>
        <w:t xml:space="preserve"> 173</w:t>
      </w:r>
    </w:p>
  </w:footnote>
  <w:footnote w:id="66">
    <w:p w14:paraId="79149328" w14:textId="7567A797"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A03C07" w:rsidRPr="00270143">
        <w:rPr>
          <w:rFonts w:ascii="Book Antiqua" w:hAnsi="Book Antiqua" w:cs="Helvetica"/>
          <w:sz w:val="20"/>
          <w:szCs w:val="20"/>
          <w:lang w:val="en-US"/>
        </w:rPr>
        <w:t xml:space="preserve">Bordo, Susan, 1993, </w:t>
      </w:r>
      <w:r w:rsidR="00A03C07" w:rsidRPr="00270143">
        <w:rPr>
          <w:rFonts w:ascii="Book Antiqua" w:hAnsi="Book Antiqua" w:cs="Helvetica"/>
          <w:i/>
          <w:iCs/>
          <w:sz w:val="20"/>
          <w:szCs w:val="20"/>
          <w:lang w:val="en-US"/>
        </w:rPr>
        <w:t>Unbearable Weight</w:t>
      </w:r>
      <w:r w:rsidR="00A03C07" w:rsidRPr="00270143">
        <w:rPr>
          <w:rFonts w:ascii="Book Antiqua" w:hAnsi="Book Antiqua" w:cs="Helvetica"/>
          <w:sz w:val="20"/>
          <w:szCs w:val="20"/>
          <w:lang w:val="en-US"/>
        </w:rPr>
        <w:t>, Berkeley, CA: University of California Press;</w:t>
      </w:r>
      <w:r w:rsidRPr="00270143">
        <w:rPr>
          <w:rFonts w:ascii="Book Antiqua" w:hAnsi="Book Antiqua" w:cs="Helvetica"/>
          <w:sz w:val="20"/>
          <w:szCs w:val="20"/>
          <w:lang w:val="en-US"/>
        </w:rPr>
        <w:t xml:space="preserve"> </w:t>
      </w:r>
      <w:r w:rsidR="00A03C07" w:rsidRPr="00270143">
        <w:rPr>
          <w:rFonts w:ascii="Book Antiqua" w:hAnsi="Book Antiqua" w:cs="Helvetica"/>
          <w:sz w:val="20"/>
          <w:szCs w:val="20"/>
          <w:lang w:val="en-US"/>
        </w:rPr>
        <w:t xml:space="preserve">Bartky, Sandra-Lee, 1990, </w:t>
      </w:r>
      <w:r w:rsidR="00A03C07" w:rsidRPr="00270143">
        <w:rPr>
          <w:rFonts w:ascii="Book Antiqua" w:hAnsi="Book Antiqua" w:cs="Helvetica"/>
          <w:i/>
          <w:iCs/>
          <w:sz w:val="20"/>
          <w:szCs w:val="20"/>
          <w:lang w:val="en-US"/>
        </w:rPr>
        <w:t>Femininity and Domination: Studies in the Phenomenology of Oppression</w:t>
      </w:r>
      <w:r w:rsidR="00A03C07" w:rsidRPr="00270143">
        <w:rPr>
          <w:rFonts w:ascii="Book Antiqua" w:hAnsi="Book Antiqua" w:cs="Helvetica"/>
          <w:sz w:val="20"/>
          <w:szCs w:val="20"/>
          <w:lang w:val="en-US"/>
        </w:rPr>
        <w:t>, New York: Routledge.</w:t>
      </w:r>
    </w:p>
  </w:footnote>
  <w:footnote w:id="67">
    <w:p w14:paraId="47375ACC" w14:textId="101313AA" w:rsidR="007E2B23" w:rsidRPr="00270143" w:rsidRDefault="007E2B23">
      <w:pPr>
        <w:pStyle w:val="FootnoteText"/>
        <w:rPr>
          <w:sz w:val="20"/>
          <w:szCs w:val="20"/>
          <w:lang w:val="en-US"/>
        </w:rPr>
      </w:pPr>
      <w:r w:rsidRPr="00270143">
        <w:rPr>
          <w:rStyle w:val="FootnoteReference"/>
          <w:sz w:val="20"/>
          <w:szCs w:val="20"/>
        </w:rPr>
        <w:footnoteRef/>
      </w:r>
      <w:r w:rsidR="000018DF" w:rsidRPr="00270143">
        <w:rPr>
          <w:sz w:val="20"/>
          <w:szCs w:val="20"/>
          <w:lang w:val="en-US"/>
        </w:rPr>
        <w:t xml:space="preserve">Haslanger, Sally, 1993, “On Being Objective and Being Objectified”, in </w:t>
      </w:r>
      <w:r w:rsidR="000018DF" w:rsidRPr="00270143">
        <w:rPr>
          <w:i/>
          <w:iCs/>
          <w:sz w:val="20"/>
          <w:szCs w:val="20"/>
          <w:lang w:val="en-US"/>
        </w:rPr>
        <w:t>A Mind of One's Own. Feminist Essays on Reason and Objectivity</w:t>
      </w:r>
      <w:r w:rsidR="000018DF" w:rsidRPr="00270143">
        <w:rPr>
          <w:sz w:val="20"/>
          <w:szCs w:val="20"/>
          <w:lang w:val="en-US"/>
        </w:rPr>
        <w:t>, Louise M. Antony and Charlotte Witt (eds.), Boulder, San Francisco, Oxford: Westview Press, 209–253.</w:t>
      </w:r>
      <w:r w:rsidRPr="00270143">
        <w:rPr>
          <w:sz w:val="20"/>
          <w:szCs w:val="20"/>
        </w:rPr>
        <w:t xml:space="preserve"> </w:t>
      </w:r>
    </w:p>
  </w:footnote>
  <w:footnote w:id="68">
    <w:p w14:paraId="18C688DC" w14:textId="481D28E4" w:rsidR="007E2B23" w:rsidRPr="00270143" w:rsidRDefault="007E2B23" w:rsidP="00D853E6">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 xml:space="preserve">There are lots of interesting things to say about the mutual exclusivity of the Madonna/ whore categories and the way in which that causes problems for the ability of mothers to express their sexuality.  There are also interesting things to say about the transition that many women report from being all too visible/ sexualized when young to becoming invisible/ asexualised when older.  I thank Elselijn Kingma for highlighting this.   </w:t>
      </w:r>
    </w:p>
  </w:footnote>
  <w:footnote w:id="69">
    <w:p w14:paraId="72CAF61F" w14:textId="6CD2D9B7"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000018DF" w:rsidRPr="00270143">
        <w:rPr>
          <w:sz w:val="20"/>
          <w:szCs w:val="20"/>
          <w:lang w:val="en-US"/>
        </w:rPr>
        <w:t xml:space="preserve">Bauer, Nancy, </w:t>
      </w:r>
      <w:r w:rsidR="000018DF" w:rsidRPr="00270143">
        <w:rPr>
          <w:i/>
          <w:sz w:val="20"/>
          <w:szCs w:val="20"/>
          <w:lang w:val="en-US"/>
        </w:rPr>
        <w:t>How to Do Things with Pornography</w:t>
      </w:r>
      <w:r w:rsidR="000018DF" w:rsidRPr="00270143">
        <w:rPr>
          <w:sz w:val="20"/>
          <w:szCs w:val="20"/>
          <w:lang w:val="en-US"/>
        </w:rPr>
        <w:t>, (Harvard University Press</w:t>
      </w:r>
      <w:r w:rsidRPr="00270143">
        <w:rPr>
          <w:sz w:val="20"/>
          <w:szCs w:val="20"/>
          <w:lang w:val="en-US"/>
        </w:rPr>
        <w:t>,</w:t>
      </w:r>
      <w:r w:rsidR="000018DF" w:rsidRPr="00270143">
        <w:rPr>
          <w:sz w:val="20"/>
          <w:szCs w:val="20"/>
          <w:lang w:val="en-US"/>
        </w:rPr>
        <w:t xml:space="preserve"> Cambridge, Mass. 2015)</w:t>
      </w:r>
      <w:r w:rsidRPr="00270143">
        <w:rPr>
          <w:sz w:val="20"/>
          <w:szCs w:val="20"/>
          <w:lang w:val="en-US"/>
        </w:rPr>
        <w:t xml:space="preserve"> p. 29.</w:t>
      </w:r>
    </w:p>
  </w:footnote>
  <w:footnote w:id="70">
    <w:p w14:paraId="5D187814" w14:textId="0EE56083" w:rsidR="007E2B23" w:rsidRPr="00270143" w:rsidRDefault="007E2B23">
      <w:pPr>
        <w:pStyle w:val="FootnoteText"/>
        <w:rPr>
          <w:sz w:val="20"/>
          <w:szCs w:val="20"/>
          <w:lang w:val="en-US"/>
        </w:rPr>
      </w:pPr>
      <w:r w:rsidRPr="00270143">
        <w:rPr>
          <w:rStyle w:val="FootnoteReference"/>
          <w:sz w:val="20"/>
          <w:szCs w:val="20"/>
        </w:rPr>
        <w:footnoteRef/>
      </w:r>
      <w:r w:rsidRPr="00270143">
        <w:rPr>
          <w:sz w:val="20"/>
          <w:szCs w:val="20"/>
        </w:rPr>
        <w:t xml:space="preserve"> </w:t>
      </w:r>
      <w:r w:rsidRPr="00270143">
        <w:rPr>
          <w:sz w:val="20"/>
          <w:szCs w:val="20"/>
          <w:lang w:val="en-US"/>
        </w:rPr>
        <w:t>Bauer</w:t>
      </w:r>
      <w:r w:rsidR="000018DF" w:rsidRPr="00270143">
        <w:rPr>
          <w:sz w:val="20"/>
          <w:szCs w:val="20"/>
          <w:lang w:val="en-US"/>
        </w:rPr>
        <w:t xml:space="preserve">, </w:t>
      </w:r>
      <w:r w:rsidR="000018DF" w:rsidRPr="00270143">
        <w:rPr>
          <w:i/>
          <w:sz w:val="20"/>
          <w:szCs w:val="20"/>
          <w:lang w:val="en-US"/>
        </w:rPr>
        <w:t>How to Do Things with Pornography</w:t>
      </w:r>
      <w:r w:rsidRPr="00270143">
        <w:rPr>
          <w:sz w:val="20"/>
          <w:szCs w:val="20"/>
          <w:lang w:val="en-US"/>
        </w:rPr>
        <w:t>, p. 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D4D82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3FD3712"/>
    <w:multiLevelType w:val="hybridMultilevel"/>
    <w:tmpl w:val="C64A9A88"/>
    <w:lvl w:ilvl="0" w:tplc="5C8E0CA0">
      <w:start w:val="1"/>
      <w:numFmt w:val="lowerLetter"/>
      <w:lvlText w:val="(%1)"/>
      <w:lvlJc w:val="left"/>
      <w:pPr>
        <w:ind w:left="1780" w:hanging="10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03173D"/>
    <w:multiLevelType w:val="hybridMultilevel"/>
    <w:tmpl w:val="A5788982"/>
    <w:lvl w:ilvl="0" w:tplc="471ECD3A">
      <w:start w:val="16"/>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E2117"/>
    <w:multiLevelType w:val="hybridMultilevel"/>
    <w:tmpl w:val="52EE022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0B3B59"/>
    <w:multiLevelType w:val="hybridMultilevel"/>
    <w:tmpl w:val="44D4D82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9"/>
    <w:rsid w:val="000018DF"/>
    <w:rsid w:val="00024946"/>
    <w:rsid w:val="00034283"/>
    <w:rsid w:val="000352D7"/>
    <w:rsid w:val="000431C7"/>
    <w:rsid w:val="000726C0"/>
    <w:rsid w:val="000823ED"/>
    <w:rsid w:val="00094EFB"/>
    <w:rsid w:val="000A51DF"/>
    <w:rsid w:val="000B6959"/>
    <w:rsid w:val="000C6939"/>
    <w:rsid w:val="000D1A95"/>
    <w:rsid w:val="000D2FBF"/>
    <w:rsid w:val="000E30AA"/>
    <w:rsid w:val="000E7106"/>
    <w:rsid w:val="000F4C07"/>
    <w:rsid w:val="000F7FD8"/>
    <w:rsid w:val="001014AF"/>
    <w:rsid w:val="0011060B"/>
    <w:rsid w:val="00111B78"/>
    <w:rsid w:val="0011377E"/>
    <w:rsid w:val="00115B86"/>
    <w:rsid w:val="001209E5"/>
    <w:rsid w:val="00127F8B"/>
    <w:rsid w:val="001372E0"/>
    <w:rsid w:val="00141CF1"/>
    <w:rsid w:val="00142621"/>
    <w:rsid w:val="0014628D"/>
    <w:rsid w:val="001507EB"/>
    <w:rsid w:val="00153704"/>
    <w:rsid w:val="00153C3A"/>
    <w:rsid w:val="00154AC5"/>
    <w:rsid w:val="00162269"/>
    <w:rsid w:val="00164EA9"/>
    <w:rsid w:val="0017084C"/>
    <w:rsid w:val="00173EBB"/>
    <w:rsid w:val="00176586"/>
    <w:rsid w:val="001876AF"/>
    <w:rsid w:val="001A5233"/>
    <w:rsid w:val="001A6720"/>
    <w:rsid w:val="001B17EB"/>
    <w:rsid w:val="001B5789"/>
    <w:rsid w:val="001B79F9"/>
    <w:rsid w:val="001C0E74"/>
    <w:rsid w:val="001C1F21"/>
    <w:rsid w:val="001E1642"/>
    <w:rsid w:val="001E7254"/>
    <w:rsid w:val="002050A8"/>
    <w:rsid w:val="00205A0C"/>
    <w:rsid w:val="002154AD"/>
    <w:rsid w:val="002175FC"/>
    <w:rsid w:val="00222223"/>
    <w:rsid w:val="00223366"/>
    <w:rsid w:val="00235399"/>
    <w:rsid w:val="002353AA"/>
    <w:rsid w:val="0025137A"/>
    <w:rsid w:val="00254038"/>
    <w:rsid w:val="0026144C"/>
    <w:rsid w:val="00264E99"/>
    <w:rsid w:val="00270143"/>
    <w:rsid w:val="00281FA7"/>
    <w:rsid w:val="00286EF2"/>
    <w:rsid w:val="002B2FA4"/>
    <w:rsid w:val="002B4B79"/>
    <w:rsid w:val="002B4D1D"/>
    <w:rsid w:val="002B7EC7"/>
    <w:rsid w:val="002C5C77"/>
    <w:rsid w:val="002E0959"/>
    <w:rsid w:val="002E2063"/>
    <w:rsid w:val="002E32A4"/>
    <w:rsid w:val="003026E7"/>
    <w:rsid w:val="00314AE2"/>
    <w:rsid w:val="00320E36"/>
    <w:rsid w:val="00323C1E"/>
    <w:rsid w:val="003240FB"/>
    <w:rsid w:val="00326DE1"/>
    <w:rsid w:val="0033403E"/>
    <w:rsid w:val="00337D39"/>
    <w:rsid w:val="003413EE"/>
    <w:rsid w:val="003506C0"/>
    <w:rsid w:val="00350B17"/>
    <w:rsid w:val="00351DA1"/>
    <w:rsid w:val="00355834"/>
    <w:rsid w:val="00356290"/>
    <w:rsid w:val="003567C0"/>
    <w:rsid w:val="003609B5"/>
    <w:rsid w:val="00363295"/>
    <w:rsid w:val="003633EC"/>
    <w:rsid w:val="00363745"/>
    <w:rsid w:val="00373A9E"/>
    <w:rsid w:val="00373B6E"/>
    <w:rsid w:val="00385345"/>
    <w:rsid w:val="00385B23"/>
    <w:rsid w:val="003A1D29"/>
    <w:rsid w:val="003B2C3D"/>
    <w:rsid w:val="003C6F91"/>
    <w:rsid w:val="003D01AF"/>
    <w:rsid w:val="003D0B42"/>
    <w:rsid w:val="003D6243"/>
    <w:rsid w:val="003D66BB"/>
    <w:rsid w:val="003E18E7"/>
    <w:rsid w:val="003E7330"/>
    <w:rsid w:val="003F23A0"/>
    <w:rsid w:val="003F3DE5"/>
    <w:rsid w:val="003F4E3A"/>
    <w:rsid w:val="004059D5"/>
    <w:rsid w:val="0040674C"/>
    <w:rsid w:val="0043512C"/>
    <w:rsid w:val="00436ABE"/>
    <w:rsid w:val="00443A67"/>
    <w:rsid w:val="00444EC6"/>
    <w:rsid w:val="00452310"/>
    <w:rsid w:val="00455636"/>
    <w:rsid w:val="00471751"/>
    <w:rsid w:val="004967E9"/>
    <w:rsid w:val="004A1CE1"/>
    <w:rsid w:val="004A1FA8"/>
    <w:rsid w:val="004A282C"/>
    <w:rsid w:val="004A6E89"/>
    <w:rsid w:val="004B0D56"/>
    <w:rsid w:val="004B57DA"/>
    <w:rsid w:val="004E2675"/>
    <w:rsid w:val="004E38A2"/>
    <w:rsid w:val="004E437A"/>
    <w:rsid w:val="004E6549"/>
    <w:rsid w:val="004F16D3"/>
    <w:rsid w:val="004F4273"/>
    <w:rsid w:val="004F6923"/>
    <w:rsid w:val="004F6C30"/>
    <w:rsid w:val="00504AD5"/>
    <w:rsid w:val="0050725C"/>
    <w:rsid w:val="0053217A"/>
    <w:rsid w:val="00540612"/>
    <w:rsid w:val="00546823"/>
    <w:rsid w:val="00550B44"/>
    <w:rsid w:val="00567AF6"/>
    <w:rsid w:val="00575B48"/>
    <w:rsid w:val="00587981"/>
    <w:rsid w:val="0059403D"/>
    <w:rsid w:val="005A72ED"/>
    <w:rsid w:val="005A77BF"/>
    <w:rsid w:val="005B3531"/>
    <w:rsid w:val="005B4A46"/>
    <w:rsid w:val="005C0449"/>
    <w:rsid w:val="005C39D3"/>
    <w:rsid w:val="005C7EA3"/>
    <w:rsid w:val="005D55B4"/>
    <w:rsid w:val="005E3002"/>
    <w:rsid w:val="005F78E5"/>
    <w:rsid w:val="00605C39"/>
    <w:rsid w:val="00616FB3"/>
    <w:rsid w:val="006204DE"/>
    <w:rsid w:val="00622706"/>
    <w:rsid w:val="00626E11"/>
    <w:rsid w:val="00630A81"/>
    <w:rsid w:val="006364EC"/>
    <w:rsid w:val="00653948"/>
    <w:rsid w:val="00673418"/>
    <w:rsid w:val="006760D9"/>
    <w:rsid w:val="00676259"/>
    <w:rsid w:val="006865E1"/>
    <w:rsid w:val="00690811"/>
    <w:rsid w:val="006911B6"/>
    <w:rsid w:val="00696AA8"/>
    <w:rsid w:val="006C3619"/>
    <w:rsid w:val="006C4FC2"/>
    <w:rsid w:val="006C6C76"/>
    <w:rsid w:val="006F6ED3"/>
    <w:rsid w:val="0070592A"/>
    <w:rsid w:val="00731EFF"/>
    <w:rsid w:val="00731FA1"/>
    <w:rsid w:val="007410B9"/>
    <w:rsid w:val="0074151E"/>
    <w:rsid w:val="007424F9"/>
    <w:rsid w:val="00742AC2"/>
    <w:rsid w:val="00747DCA"/>
    <w:rsid w:val="00752BEF"/>
    <w:rsid w:val="007700B1"/>
    <w:rsid w:val="007A1B3E"/>
    <w:rsid w:val="007A332B"/>
    <w:rsid w:val="007A73EF"/>
    <w:rsid w:val="007B5DA4"/>
    <w:rsid w:val="007B606E"/>
    <w:rsid w:val="007C06FD"/>
    <w:rsid w:val="007C1FB9"/>
    <w:rsid w:val="007C4001"/>
    <w:rsid w:val="007D0E6C"/>
    <w:rsid w:val="007D27BA"/>
    <w:rsid w:val="007D7FB9"/>
    <w:rsid w:val="007E04D6"/>
    <w:rsid w:val="007E2B23"/>
    <w:rsid w:val="008106D7"/>
    <w:rsid w:val="008231A4"/>
    <w:rsid w:val="00832983"/>
    <w:rsid w:val="00842C13"/>
    <w:rsid w:val="00843FD8"/>
    <w:rsid w:val="0085399A"/>
    <w:rsid w:val="00853B5D"/>
    <w:rsid w:val="00855FC8"/>
    <w:rsid w:val="008604B3"/>
    <w:rsid w:val="00863DDE"/>
    <w:rsid w:val="00865858"/>
    <w:rsid w:val="008721D3"/>
    <w:rsid w:val="008727AA"/>
    <w:rsid w:val="008906A2"/>
    <w:rsid w:val="008925F2"/>
    <w:rsid w:val="008C674E"/>
    <w:rsid w:val="008D3EC5"/>
    <w:rsid w:val="008D4281"/>
    <w:rsid w:val="008E042B"/>
    <w:rsid w:val="009151F9"/>
    <w:rsid w:val="00923CF8"/>
    <w:rsid w:val="009420FC"/>
    <w:rsid w:val="00943096"/>
    <w:rsid w:val="009740CF"/>
    <w:rsid w:val="0097500E"/>
    <w:rsid w:val="0098166E"/>
    <w:rsid w:val="00981F67"/>
    <w:rsid w:val="00985430"/>
    <w:rsid w:val="0099347B"/>
    <w:rsid w:val="009A7F71"/>
    <w:rsid w:val="009B4011"/>
    <w:rsid w:val="009C7A0F"/>
    <w:rsid w:val="009D24F0"/>
    <w:rsid w:val="009D429E"/>
    <w:rsid w:val="009F5A63"/>
    <w:rsid w:val="00A0218E"/>
    <w:rsid w:val="00A03C07"/>
    <w:rsid w:val="00A0703C"/>
    <w:rsid w:val="00A144B3"/>
    <w:rsid w:val="00A17048"/>
    <w:rsid w:val="00A206F6"/>
    <w:rsid w:val="00A23C95"/>
    <w:rsid w:val="00A25804"/>
    <w:rsid w:val="00A27AC6"/>
    <w:rsid w:val="00A303E5"/>
    <w:rsid w:val="00A41E6D"/>
    <w:rsid w:val="00A44AC2"/>
    <w:rsid w:val="00A45D5D"/>
    <w:rsid w:val="00A70B56"/>
    <w:rsid w:val="00A72A9A"/>
    <w:rsid w:val="00A7599E"/>
    <w:rsid w:val="00A86104"/>
    <w:rsid w:val="00A910C4"/>
    <w:rsid w:val="00A93E09"/>
    <w:rsid w:val="00A9609B"/>
    <w:rsid w:val="00AA12A8"/>
    <w:rsid w:val="00AA34FF"/>
    <w:rsid w:val="00AA3CA1"/>
    <w:rsid w:val="00AC32E6"/>
    <w:rsid w:val="00AC5FFD"/>
    <w:rsid w:val="00B05A46"/>
    <w:rsid w:val="00B120BD"/>
    <w:rsid w:val="00B139EF"/>
    <w:rsid w:val="00B17E22"/>
    <w:rsid w:val="00B21493"/>
    <w:rsid w:val="00B250FB"/>
    <w:rsid w:val="00B3137C"/>
    <w:rsid w:val="00B32613"/>
    <w:rsid w:val="00B33768"/>
    <w:rsid w:val="00B43572"/>
    <w:rsid w:val="00B4363A"/>
    <w:rsid w:val="00B6141D"/>
    <w:rsid w:val="00B65929"/>
    <w:rsid w:val="00B66F62"/>
    <w:rsid w:val="00B70CAF"/>
    <w:rsid w:val="00B847A9"/>
    <w:rsid w:val="00B84810"/>
    <w:rsid w:val="00B84DBD"/>
    <w:rsid w:val="00BA357A"/>
    <w:rsid w:val="00BB2C1E"/>
    <w:rsid w:val="00BC599F"/>
    <w:rsid w:val="00BC6209"/>
    <w:rsid w:val="00BC629A"/>
    <w:rsid w:val="00BD5C40"/>
    <w:rsid w:val="00BE2169"/>
    <w:rsid w:val="00BE3F94"/>
    <w:rsid w:val="00BE4884"/>
    <w:rsid w:val="00BF5500"/>
    <w:rsid w:val="00BF7D0E"/>
    <w:rsid w:val="00C10450"/>
    <w:rsid w:val="00C13735"/>
    <w:rsid w:val="00C140C4"/>
    <w:rsid w:val="00C22D20"/>
    <w:rsid w:val="00C410CC"/>
    <w:rsid w:val="00C45F00"/>
    <w:rsid w:val="00C47058"/>
    <w:rsid w:val="00C4782C"/>
    <w:rsid w:val="00C50ED9"/>
    <w:rsid w:val="00C555C6"/>
    <w:rsid w:val="00C647C3"/>
    <w:rsid w:val="00C64C96"/>
    <w:rsid w:val="00C67087"/>
    <w:rsid w:val="00C71A5C"/>
    <w:rsid w:val="00C74CA8"/>
    <w:rsid w:val="00C837EE"/>
    <w:rsid w:val="00C92D4F"/>
    <w:rsid w:val="00C93322"/>
    <w:rsid w:val="00CA1FA1"/>
    <w:rsid w:val="00CC1392"/>
    <w:rsid w:val="00CC16C2"/>
    <w:rsid w:val="00CD30D4"/>
    <w:rsid w:val="00CD586F"/>
    <w:rsid w:val="00CE2FD4"/>
    <w:rsid w:val="00CE5380"/>
    <w:rsid w:val="00CE6F35"/>
    <w:rsid w:val="00CF461F"/>
    <w:rsid w:val="00CF4E73"/>
    <w:rsid w:val="00CF707A"/>
    <w:rsid w:val="00D00A86"/>
    <w:rsid w:val="00D05167"/>
    <w:rsid w:val="00D10524"/>
    <w:rsid w:val="00D22AB8"/>
    <w:rsid w:val="00D34D97"/>
    <w:rsid w:val="00D40177"/>
    <w:rsid w:val="00D51B0E"/>
    <w:rsid w:val="00D71B6D"/>
    <w:rsid w:val="00D801A0"/>
    <w:rsid w:val="00D83B5A"/>
    <w:rsid w:val="00D83BEF"/>
    <w:rsid w:val="00D853E6"/>
    <w:rsid w:val="00D85E31"/>
    <w:rsid w:val="00DA2B11"/>
    <w:rsid w:val="00DA5609"/>
    <w:rsid w:val="00DB3CAD"/>
    <w:rsid w:val="00DB4749"/>
    <w:rsid w:val="00DC360B"/>
    <w:rsid w:val="00DD23AD"/>
    <w:rsid w:val="00DD4A1F"/>
    <w:rsid w:val="00DD668E"/>
    <w:rsid w:val="00DE0DEA"/>
    <w:rsid w:val="00DE623F"/>
    <w:rsid w:val="00E05E1B"/>
    <w:rsid w:val="00E1566E"/>
    <w:rsid w:val="00E2052E"/>
    <w:rsid w:val="00E20E39"/>
    <w:rsid w:val="00E23803"/>
    <w:rsid w:val="00E3046B"/>
    <w:rsid w:val="00E30647"/>
    <w:rsid w:val="00E37738"/>
    <w:rsid w:val="00E42AD9"/>
    <w:rsid w:val="00E53758"/>
    <w:rsid w:val="00E729F4"/>
    <w:rsid w:val="00E7353B"/>
    <w:rsid w:val="00E73D8B"/>
    <w:rsid w:val="00E74D01"/>
    <w:rsid w:val="00E77378"/>
    <w:rsid w:val="00E84577"/>
    <w:rsid w:val="00E9619B"/>
    <w:rsid w:val="00EA6885"/>
    <w:rsid w:val="00EB1F2A"/>
    <w:rsid w:val="00EB7A64"/>
    <w:rsid w:val="00EC1520"/>
    <w:rsid w:val="00EC52FC"/>
    <w:rsid w:val="00EC665C"/>
    <w:rsid w:val="00ED2897"/>
    <w:rsid w:val="00ED6FB6"/>
    <w:rsid w:val="00EF13AF"/>
    <w:rsid w:val="00F0234B"/>
    <w:rsid w:val="00F0484F"/>
    <w:rsid w:val="00F127A2"/>
    <w:rsid w:val="00F26BB2"/>
    <w:rsid w:val="00F27462"/>
    <w:rsid w:val="00F311E3"/>
    <w:rsid w:val="00F35D57"/>
    <w:rsid w:val="00F37A31"/>
    <w:rsid w:val="00F41A9B"/>
    <w:rsid w:val="00F50E21"/>
    <w:rsid w:val="00F52900"/>
    <w:rsid w:val="00F706C4"/>
    <w:rsid w:val="00F73CD8"/>
    <w:rsid w:val="00F7667E"/>
    <w:rsid w:val="00F8604C"/>
    <w:rsid w:val="00F93C28"/>
    <w:rsid w:val="00F96DF5"/>
    <w:rsid w:val="00FA0008"/>
    <w:rsid w:val="00FA4EBE"/>
    <w:rsid w:val="00FB02D9"/>
    <w:rsid w:val="00FB7CBE"/>
    <w:rsid w:val="00FC1B92"/>
    <w:rsid w:val="00FC372A"/>
    <w:rsid w:val="00FE7744"/>
    <w:rsid w:val="00FF7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E3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5E1B"/>
  </w:style>
  <w:style w:type="character" w:customStyle="1" w:styleId="FootnoteTextChar">
    <w:name w:val="Footnote Text Char"/>
    <w:basedOn w:val="DefaultParagraphFont"/>
    <w:link w:val="FootnoteText"/>
    <w:uiPriority w:val="99"/>
    <w:rsid w:val="00E05E1B"/>
    <w:rPr>
      <w:lang w:val="en-GB"/>
    </w:rPr>
  </w:style>
  <w:style w:type="character" w:styleId="FootnoteReference">
    <w:name w:val="footnote reference"/>
    <w:basedOn w:val="DefaultParagraphFont"/>
    <w:uiPriority w:val="99"/>
    <w:unhideWhenUsed/>
    <w:rsid w:val="00E05E1B"/>
    <w:rPr>
      <w:vertAlign w:val="superscript"/>
    </w:rPr>
  </w:style>
  <w:style w:type="paragraph" w:styleId="NormalWeb">
    <w:name w:val="Normal (Web)"/>
    <w:basedOn w:val="Normal"/>
    <w:uiPriority w:val="99"/>
    <w:unhideWhenUsed/>
    <w:rsid w:val="001B79F9"/>
    <w:rPr>
      <w:rFonts w:ascii="Times New Roman" w:hAnsi="Times New Roman" w:cs="Times New Roman"/>
      <w:lang w:val="en-US"/>
    </w:rPr>
  </w:style>
  <w:style w:type="character" w:styleId="Hyperlink">
    <w:name w:val="Hyperlink"/>
    <w:basedOn w:val="DefaultParagraphFont"/>
    <w:uiPriority w:val="99"/>
    <w:unhideWhenUsed/>
    <w:rsid w:val="0026144C"/>
    <w:rPr>
      <w:color w:val="0000FF" w:themeColor="hyperlink"/>
      <w:u w:val="single"/>
    </w:rPr>
  </w:style>
  <w:style w:type="paragraph" w:styleId="ListParagraph">
    <w:name w:val="List Paragraph"/>
    <w:basedOn w:val="Normal"/>
    <w:uiPriority w:val="34"/>
    <w:qFormat/>
    <w:rsid w:val="003240FB"/>
    <w:pPr>
      <w:ind w:left="720"/>
      <w:contextualSpacing/>
    </w:pPr>
  </w:style>
  <w:style w:type="paragraph" w:styleId="Footer">
    <w:name w:val="footer"/>
    <w:basedOn w:val="Normal"/>
    <w:link w:val="FooterChar"/>
    <w:uiPriority w:val="99"/>
    <w:unhideWhenUsed/>
    <w:rsid w:val="00CD586F"/>
    <w:pPr>
      <w:tabs>
        <w:tab w:val="center" w:pos="4320"/>
        <w:tab w:val="right" w:pos="8640"/>
      </w:tabs>
    </w:pPr>
  </w:style>
  <w:style w:type="character" w:customStyle="1" w:styleId="FooterChar">
    <w:name w:val="Footer Char"/>
    <w:basedOn w:val="DefaultParagraphFont"/>
    <w:link w:val="Footer"/>
    <w:uiPriority w:val="99"/>
    <w:rsid w:val="00CD586F"/>
    <w:rPr>
      <w:lang w:val="en-GB"/>
    </w:rPr>
  </w:style>
  <w:style w:type="character" w:styleId="PageNumber">
    <w:name w:val="page number"/>
    <w:basedOn w:val="DefaultParagraphFont"/>
    <w:uiPriority w:val="99"/>
    <w:semiHidden/>
    <w:unhideWhenUsed/>
    <w:rsid w:val="00CD586F"/>
  </w:style>
  <w:style w:type="character" w:styleId="CommentReference">
    <w:name w:val="annotation reference"/>
    <w:basedOn w:val="DefaultParagraphFont"/>
    <w:uiPriority w:val="99"/>
    <w:semiHidden/>
    <w:unhideWhenUsed/>
    <w:rsid w:val="00C74CA8"/>
    <w:rPr>
      <w:sz w:val="18"/>
      <w:szCs w:val="18"/>
    </w:rPr>
  </w:style>
  <w:style w:type="paragraph" w:styleId="CommentText">
    <w:name w:val="annotation text"/>
    <w:basedOn w:val="Normal"/>
    <w:link w:val="CommentTextChar"/>
    <w:uiPriority w:val="99"/>
    <w:semiHidden/>
    <w:unhideWhenUsed/>
    <w:rsid w:val="00C74CA8"/>
  </w:style>
  <w:style w:type="character" w:customStyle="1" w:styleId="CommentTextChar">
    <w:name w:val="Comment Text Char"/>
    <w:basedOn w:val="DefaultParagraphFont"/>
    <w:link w:val="CommentText"/>
    <w:uiPriority w:val="99"/>
    <w:semiHidden/>
    <w:rsid w:val="00C74CA8"/>
    <w:rPr>
      <w:lang w:val="en-GB"/>
    </w:rPr>
  </w:style>
  <w:style w:type="paragraph" w:styleId="CommentSubject">
    <w:name w:val="annotation subject"/>
    <w:basedOn w:val="CommentText"/>
    <w:next w:val="CommentText"/>
    <w:link w:val="CommentSubjectChar"/>
    <w:uiPriority w:val="99"/>
    <w:semiHidden/>
    <w:unhideWhenUsed/>
    <w:rsid w:val="00C74CA8"/>
    <w:rPr>
      <w:b/>
      <w:bCs/>
      <w:sz w:val="20"/>
      <w:szCs w:val="20"/>
    </w:rPr>
  </w:style>
  <w:style w:type="character" w:customStyle="1" w:styleId="CommentSubjectChar">
    <w:name w:val="Comment Subject Char"/>
    <w:basedOn w:val="CommentTextChar"/>
    <w:link w:val="CommentSubject"/>
    <w:uiPriority w:val="99"/>
    <w:semiHidden/>
    <w:rsid w:val="00C74CA8"/>
    <w:rPr>
      <w:b/>
      <w:bCs/>
      <w:sz w:val="20"/>
      <w:szCs w:val="20"/>
      <w:lang w:val="en-GB"/>
    </w:rPr>
  </w:style>
  <w:style w:type="paragraph" w:styleId="BalloonText">
    <w:name w:val="Balloon Text"/>
    <w:basedOn w:val="Normal"/>
    <w:link w:val="BalloonTextChar"/>
    <w:uiPriority w:val="99"/>
    <w:semiHidden/>
    <w:unhideWhenUsed/>
    <w:rsid w:val="00C74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CA8"/>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05E1B"/>
  </w:style>
  <w:style w:type="character" w:customStyle="1" w:styleId="FootnoteTextChar">
    <w:name w:val="Footnote Text Char"/>
    <w:basedOn w:val="DefaultParagraphFont"/>
    <w:link w:val="FootnoteText"/>
    <w:uiPriority w:val="99"/>
    <w:rsid w:val="00E05E1B"/>
    <w:rPr>
      <w:lang w:val="en-GB"/>
    </w:rPr>
  </w:style>
  <w:style w:type="character" w:styleId="FootnoteReference">
    <w:name w:val="footnote reference"/>
    <w:basedOn w:val="DefaultParagraphFont"/>
    <w:uiPriority w:val="99"/>
    <w:unhideWhenUsed/>
    <w:rsid w:val="00E05E1B"/>
    <w:rPr>
      <w:vertAlign w:val="superscript"/>
    </w:rPr>
  </w:style>
  <w:style w:type="paragraph" w:styleId="NormalWeb">
    <w:name w:val="Normal (Web)"/>
    <w:basedOn w:val="Normal"/>
    <w:uiPriority w:val="99"/>
    <w:unhideWhenUsed/>
    <w:rsid w:val="001B79F9"/>
    <w:rPr>
      <w:rFonts w:ascii="Times New Roman" w:hAnsi="Times New Roman" w:cs="Times New Roman"/>
      <w:lang w:val="en-US"/>
    </w:rPr>
  </w:style>
  <w:style w:type="character" w:styleId="Hyperlink">
    <w:name w:val="Hyperlink"/>
    <w:basedOn w:val="DefaultParagraphFont"/>
    <w:uiPriority w:val="99"/>
    <w:unhideWhenUsed/>
    <w:rsid w:val="0026144C"/>
    <w:rPr>
      <w:color w:val="0000FF" w:themeColor="hyperlink"/>
      <w:u w:val="single"/>
    </w:rPr>
  </w:style>
  <w:style w:type="paragraph" w:styleId="ListParagraph">
    <w:name w:val="List Paragraph"/>
    <w:basedOn w:val="Normal"/>
    <w:uiPriority w:val="34"/>
    <w:qFormat/>
    <w:rsid w:val="003240FB"/>
    <w:pPr>
      <w:ind w:left="720"/>
      <w:contextualSpacing/>
    </w:pPr>
  </w:style>
  <w:style w:type="paragraph" w:styleId="Footer">
    <w:name w:val="footer"/>
    <w:basedOn w:val="Normal"/>
    <w:link w:val="FooterChar"/>
    <w:uiPriority w:val="99"/>
    <w:unhideWhenUsed/>
    <w:rsid w:val="00CD586F"/>
    <w:pPr>
      <w:tabs>
        <w:tab w:val="center" w:pos="4320"/>
        <w:tab w:val="right" w:pos="8640"/>
      </w:tabs>
    </w:pPr>
  </w:style>
  <w:style w:type="character" w:customStyle="1" w:styleId="FooterChar">
    <w:name w:val="Footer Char"/>
    <w:basedOn w:val="DefaultParagraphFont"/>
    <w:link w:val="Footer"/>
    <w:uiPriority w:val="99"/>
    <w:rsid w:val="00CD586F"/>
    <w:rPr>
      <w:lang w:val="en-GB"/>
    </w:rPr>
  </w:style>
  <w:style w:type="character" w:styleId="PageNumber">
    <w:name w:val="page number"/>
    <w:basedOn w:val="DefaultParagraphFont"/>
    <w:uiPriority w:val="99"/>
    <w:semiHidden/>
    <w:unhideWhenUsed/>
    <w:rsid w:val="00CD586F"/>
  </w:style>
  <w:style w:type="character" w:styleId="CommentReference">
    <w:name w:val="annotation reference"/>
    <w:basedOn w:val="DefaultParagraphFont"/>
    <w:uiPriority w:val="99"/>
    <w:semiHidden/>
    <w:unhideWhenUsed/>
    <w:rsid w:val="00C74CA8"/>
    <w:rPr>
      <w:sz w:val="18"/>
      <w:szCs w:val="18"/>
    </w:rPr>
  </w:style>
  <w:style w:type="paragraph" w:styleId="CommentText">
    <w:name w:val="annotation text"/>
    <w:basedOn w:val="Normal"/>
    <w:link w:val="CommentTextChar"/>
    <w:uiPriority w:val="99"/>
    <w:semiHidden/>
    <w:unhideWhenUsed/>
    <w:rsid w:val="00C74CA8"/>
  </w:style>
  <w:style w:type="character" w:customStyle="1" w:styleId="CommentTextChar">
    <w:name w:val="Comment Text Char"/>
    <w:basedOn w:val="DefaultParagraphFont"/>
    <w:link w:val="CommentText"/>
    <w:uiPriority w:val="99"/>
    <w:semiHidden/>
    <w:rsid w:val="00C74CA8"/>
    <w:rPr>
      <w:lang w:val="en-GB"/>
    </w:rPr>
  </w:style>
  <w:style w:type="paragraph" w:styleId="CommentSubject">
    <w:name w:val="annotation subject"/>
    <w:basedOn w:val="CommentText"/>
    <w:next w:val="CommentText"/>
    <w:link w:val="CommentSubjectChar"/>
    <w:uiPriority w:val="99"/>
    <w:semiHidden/>
    <w:unhideWhenUsed/>
    <w:rsid w:val="00C74CA8"/>
    <w:rPr>
      <w:b/>
      <w:bCs/>
      <w:sz w:val="20"/>
      <w:szCs w:val="20"/>
    </w:rPr>
  </w:style>
  <w:style w:type="character" w:customStyle="1" w:styleId="CommentSubjectChar">
    <w:name w:val="Comment Subject Char"/>
    <w:basedOn w:val="CommentTextChar"/>
    <w:link w:val="CommentSubject"/>
    <w:uiPriority w:val="99"/>
    <w:semiHidden/>
    <w:rsid w:val="00C74CA8"/>
    <w:rPr>
      <w:b/>
      <w:bCs/>
      <w:sz w:val="20"/>
      <w:szCs w:val="20"/>
      <w:lang w:val="en-GB"/>
    </w:rPr>
  </w:style>
  <w:style w:type="paragraph" w:styleId="BalloonText">
    <w:name w:val="Balloon Text"/>
    <w:basedOn w:val="Normal"/>
    <w:link w:val="BalloonTextChar"/>
    <w:uiPriority w:val="99"/>
    <w:semiHidden/>
    <w:unhideWhenUsed/>
    <w:rsid w:val="00C74C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CA8"/>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4418">
      <w:bodyDiv w:val="1"/>
      <w:marLeft w:val="0"/>
      <w:marRight w:val="0"/>
      <w:marTop w:val="0"/>
      <w:marBottom w:val="0"/>
      <w:divBdr>
        <w:top w:val="none" w:sz="0" w:space="0" w:color="auto"/>
        <w:left w:val="none" w:sz="0" w:space="0" w:color="auto"/>
        <w:bottom w:val="none" w:sz="0" w:space="0" w:color="auto"/>
        <w:right w:val="none" w:sz="0" w:space="0" w:color="auto"/>
      </w:divBdr>
      <w:divsChild>
        <w:div w:id="2012289168">
          <w:marLeft w:val="547"/>
          <w:marRight w:val="0"/>
          <w:marTop w:val="0"/>
          <w:marBottom w:val="403"/>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tuff.co.nz/life-style/well-good/4164167/Grow-up-men-Breasts-are-for-babies" TargetMode="External"/><Relationship Id="rId4" Type="http://schemas.openxmlformats.org/officeDocument/2006/relationships/hyperlink" Target="http://www.vocativ.com/278919/pregnancy-alcohol-use-cdc/" TargetMode="External"/><Relationship Id="rId1" Type="http://schemas.openxmlformats.org/officeDocument/2006/relationships/hyperlink" Target="https://www.youtube.com/watch?v=MWcJZ210AaM" TargetMode="External"/><Relationship Id="rId2" Type="http://schemas.openxmlformats.org/officeDocument/2006/relationships/hyperlink" Target="https://en.wikipedia.org/wiki/Special:BookSources/0860913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A3D1-E521-3F40-BB58-F4F318AA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9461</Words>
  <Characters>53931</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Fiona Woollard</cp:lastModifiedBy>
  <cp:revision>5</cp:revision>
  <dcterms:created xsi:type="dcterms:W3CDTF">2017-03-20T15:12:00Z</dcterms:created>
  <dcterms:modified xsi:type="dcterms:W3CDTF">2017-03-20T15:30:00Z</dcterms:modified>
</cp:coreProperties>
</file>